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E4A5" w14:textId="31FBC50A" w:rsidR="00857B90" w:rsidRDefault="00857B90" w:rsidP="00857B90">
      <w:pPr>
        <w:rPr>
          <w:rFonts w:cs="Arial"/>
        </w:rPr>
      </w:pPr>
      <w:r>
        <w:rPr>
          <w:rFonts w:cs="Arial"/>
          <w:noProof/>
          <w:lang w:eastAsia="en-GB" w:bidi="ar-SA"/>
        </w:rPr>
        <w:drawing>
          <wp:inline distT="0" distB="0" distL="0" distR="0" wp14:anchorId="56D67147" wp14:editId="22C2DB6A">
            <wp:extent cx="3495600" cy="612000"/>
            <wp:effectExtent l="0" t="0" r="0" b="0"/>
            <wp:docPr id="1" name="Picture 1" descr="Food Standards Australia New Zealand logo"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545568B" w14:textId="77777777" w:rsidR="00857B90" w:rsidRPr="00A671E6" w:rsidRDefault="00857B90" w:rsidP="00857B90">
      <w:pPr>
        <w:rPr>
          <w:color w:val="FF0000"/>
        </w:rPr>
      </w:pPr>
    </w:p>
    <w:p w14:paraId="00161314" w14:textId="70663C32" w:rsidR="00857B90" w:rsidRPr="00006976" w:rsidRDefault="00B901E8" w:rsidP="00857B90">
      <w:pPr>
        <w:rPr>
          <w:b/>
          <w:sz w:val="28"/>
          <w:szCs w:val="28"/>
        </w:rPr>
      </w:pPr>
      <w:r w:rsidRPr="00006976">
        <w:rPr>
          <w:b/>
          <w:sz w:val="28"/>
          <w:szCs w:val="28"/>
        </w:rPr>
        <w:t>19</w:t>
      </w:r>
      <w:r w:rsidR="00857B90" w:rsidRPr="00006976">
        <w:rPr>
          <w:b/>
          <w:sz w:val="28"/>
          <w:szCs w:val="28"/>
        </w:rPr>
        <w:t xml:space="preserve"> </w:t>
      </w:r>
      <w:r w:rsidR="00260F7B" w:rsidRPr="00006976">
        <w:rPr>
          <w:b/>
          <w:sz w:val="28"/>
          <w:szCs w:val="28"/>
        </w:rPr>
        <w:t>June 2023</w:t>
      </w:r>
    </w:p>
    <w:p w14:paraId="69E68E0D" w14:textId="5BA655AC" w:rsidR="00857B90" w:rsidRPr="00006976" w:rsidRDefault="00B901E8" w:rsidP="00857B90">
      <w:pPr>
        <w:rPr>
          <w:b/>
          <w:sz w:val="28"/>
          <w:szCs w:val="28"/>
        </w:rPr>
      </w:pPr>
      <w:r w:rsidRPr="00006976">
        <w:rPr>
          <w:b/>
          <w:sz w:val="28"/>
          <w:szCs w:val="28"/>
        </w:rPr>
        <w:t>247</w:t>
      </w:r>
      <w:r w:rsidR="00857B90" w:rsidRPr="00006976">
        <w:rPr>
          <w:b/>
          <w:sz w:val="28"/>
          <w:szCs w:val="28"/>
        </w:rPr>
        <w:t>-</w:t>
      </w:r>
      <w:r w:rsidR="003A03EA" w:rsidRPr="00006976">
        <w:rPr>
          <w:b/>
          <w:sz w:val="28"/>
          <w:szCs w:val="28"/>
        </w:rPr>
        <w:t>23</w:t>
      </w:r>
    </w:p>
    <w:p w14:paraId="4CE473DF" w14:textId="77777777" w:rsidR="00857B90" w:rsidRPr="00006976" w:rsidRDefault="00857B90" w:rsidP="00857B90"/>
    <w:p w14:paraId="733E0FBF" w14:textId="29D95184" w:rsidR="00857B90" w:rsidRPr="00DA6DF6" w:rsidRDefault="00857B90" w:rsidP="00857B90">
      <w:pPr>
        <w:pStyle w:val="FSTitle"/>
      </w:pPr>
      <w:r w:rsidRPr="00DA6DF6">
        <w:t>Approval report – Application A122</w:t>
      </w:r>
      <w:r>
        <w:t>8</w:t>
      </w:r>
    </w:p>
    <w:p w14:paraId="2EEEF525" w14:textId="77777777" w:rsidR="00857B90" w:rsidRPr="00DA6DF6" w:rsidRDefault="00857B90" w:rsidP="00857B90"/>
    <w:p w14:paraId="203F4F81" w14:textId="4AC3DA1C" w:rsidR="00857B90" w:rsidRPr="00857B90" w:rsidRDefault="00857B90" w:rsidP="00857B90">
      <w:pPr>
        <w:pBdr>
          <w:bottom w:val="single" w:sz="12" w:space="1" w:color="auto"/>
        </w:pBdr>
        <w:tabs>
          <w:tab w:val="left" w:pos="1140"/>
        </w:tabs>
        <w:rPr>
          <w:rFonts w:cs="Tahoma"/>
          <w:sz w:val="32"/>
        </w:rPr>
      </w:pPr>
      <w:r w:rsidRPr="00857B90">
        <w:rPr>
          <w:rFonts w:cs="Tahoma"/>
          <w:sz w:val="32"/>
        </w:rPr>
        <w:t xml:space="preserve">Endo-1,4-beta-xylanase from GM </w:t>
      </w:r>
      <w:r w:rsidRPr="001C3BC7">
        <w:rPr>
          <w:rFonts w:cs="Tahoma"/>
          <w:i/>
          <w:iCs/>
          <w:sz w:val="32"/>
        </w:rPr>
        <w:t xml:space="preserve">Trichoderma </w:t>
      </w:r>
      <w:proofErr w:type="spellStart"/>
      <w:r w:rsidRPr="001C3BC7">
        <w:rPr>
          <w:rFonts w:cs="Tahoma"/>
          <w:i/>
          <w:iCs/>
          <w:sz w:val="32"/>
        </w:rPr>
        <w:t>reesei</w:t>
      </w:r>
      <w:proofErr w:type="spellEnd"/>
      <w:r w:rsidRPr="00857B90">
        <w:rPr>
          <w:rFonts w:cs="Tahoma"/>
          <w:sz w:val="32"/>
        </w:rPr>
        <w:t xml:space="preserve"> (gene donor: </w:t>
      </w:r>
      <w:proofErr w:type="spellStart"/>
      <w:r w:rsidRPr="001C3BC7">
        <w:rPr>
          <w:rFonts w:cs="Tahoma"/>
          <w:i/>
          <w:iCs/>
          <w:sz w:val="32"/>
        </w:rPr>
        <w:t>Talaromyces</w:t>
      </w:r>
      <w:proofErr w:type="spellEnd"/>
      <w:r w:rsidRPr="001C3BC7">
        <w:rPr>
          <w:rFonts w:cs="Tahoma"/>
          <w:i/>
          <w:iCs/>
          <w:sz w:val="32"/>
        </w:rPr>
        <w:t xml:space="preserve"> </w:t>
      </w:r>
      <w:proofErr w:type="spellStart"/>
      <w:r w:rsidRPr="001C3BC7">
        <w:rPr>
          <w:rFonts w:cs="Tahoma"/>
          <w:i/>
          <w:iCs/>
          <w:sz w:val="32"/>
        </w:rPr>
        <w:t>leycettanus</w:t>
      </w:r>
      <w:proofErr w:type="spellEnd"/>
      <w:r w:rsidRPr="00857B90">
        <w:rPr>
          <w:rFonts w:cs="Tahoma"/>
          <w:sz w:val="32"/>
        </w:rPr>
        <w:t>) as a processing aid</w:t>
      </w:r>
    </w:p>
    <w:p w14:paraId="44FBE6EA" w14:textId="77777777" w:rsidR="002528A9" w:rsidRDefault="002528A9" w:rsidP="00857B90"/>
    <w:p w14:paraId="68CE055B" w14:textId="77777777" w:rsidR="00D65EAF" w:rsidRDefault="00857B90" w:rsidP="00857B90">
      <w:r w:rsidRPr="006A5307">
        <w:t xml:space="preserve">Food Standards Australia New Zealand (FSANZ) has assessed an application made by Novozymes Australia Pty Ltd to </w:t>
      </w:r>
      <w:r>
        <w:t xml:space="preserve">permit the use of </w:t>
      </w:r>
      <w:r w:rsidRPr="00857B90">
        <w:rPr>
          <w:lang w:val="en-AU"/>
        </w:rPr>
        <w:t xml:space="preserve">endo-1,4-beta-xylanase (EC 3.2.1.8) from a genetically modified strain of </w:t>
      </w:r>
      <w:r w:rsidRPr="00857B90">
        <w:rPr>
          <w:i/>
          <w:iCs/>
        </w:rPr>
        <w:t xml:space="preserve">Trichoderma </w:t>
      </w:r>
      <w:proofErr w:type="spellStart"/>
      <w:r w:rsidRPr="00857B90">
        <w:rPr>
          <w:i/>
          <w:iCs/>
        </w:rPr>
        <w:t>re</w:t>
      </w:r>
      <w:r w:rsidRPr="00857B90">
        <w:t>es</w:t>
      </w:r>
      <w:r w:rsidRPr="00857B90">
        <w:rPr>
          <w:i/>
          <w:iCs/>
        </w:rPr>
        <w:t>ei</w:t>
      </w:r>
      <w:proofErr w:type="spellEnd"/>
      <w:r w:rsidRPr="00857B90">
        <w:rPr>
          <w:lang w:val="en-AU"/>
        </w:rPr>
        <w:t xml:space="preserve"> as a processing aid for use in </w:t>
      </w:r>
      <w:bookmarkStart w:id="0" w:name="_Hlk118896213"/>
      <w:r w:rsidRPr="00857B90">
        <w:t>brewing, fats and oils processing, grain processing and potable alcohol production</w:t>
      </w:r>
      <w:bookmarkEnd w:id="0"/>
      <w:r w:rsidRPr="006A5307">
        <w:t>.</w:t>
      </w:r>
    </w:p>
    <w:p w14:paraId="443E074E" w14:textId="3037D408" w:rsidR="00857B90" w:rsidRPr="00AC27BA" w:rsidRDefault="00857B90" w:rsidP="00857B90">
      <w:r w:rsidRPr="00AC27BA">
        <w:t>On 8 February 2023, FSANZ sought submissions on a draft variation and published an associated report. FSANZ received two submissions.</w:t>
      </w:r>
    </w:p>
    <w:p w14:paraId="2FE25653" w14:textId="0F2873D4" w:rsidR="00857B90" w:rsidRDefault="00857B90" w:rsidP="00857B90">
      <w:r>
        <w:t xml:space="preserve">FSANZ approved the draft </w:t>
      </w:r>
      <w:r w:rsidRPr="00006976">
        <w:t xml:space="preserve">variation on </w:t>
      </w:r>
      <w:r w:rsidR="00006976" w:rsidRPr="00006976">
        <w:t>7 June 2023</w:t>
      </w:r>
      <w:r w:rsidRPr="00006976">
        <w:t xml:space="preserve">. The </w:t>
      </w:r>
      <w:r w:rsidRPr="00006976">
        <w:rPr>
          <w:rFonts w:cs="Helvetica"/>
          <w:lang w:val="en-AU"/>
        </w:rPr>
        <w:t>Food Ministers’ Meeting</w:t>
      </w:r>
      <w:r w:rsidRPr="00006976">
        <w:rPr>
          <w:rStyle w:val="FootnoteReference"/>
          <w:rFonts w:cs="Helvetica"/>
          <w:lang w:val="en-AU"/>
        </w:rPr>
        <w:footnoteReference w:id="2"/>
      </w:r>
      <w:r w:rsidRPr="00006976">
        <w:rPr>
          <w:rFonts w:cs="Helvetica"/>
          <w:lang w:val="en-AU"/>
        </w:rPr>
        <w:t xml:space="preserve"> was</w:t>
      </w:r>
      <w:r w:rsidRPr="00006976">
        <w:t xml:space="preserve"> notified of FSANZ’s decision on </w:t>
      </w:r>
      <w:r w:rsidR="00006976" w:rsidRPr="00006976">
        <w:t>19 June 2023</w:t>
      </w:r>
      <w:r w:rsidRPr="00006976">
        <w:t>.</w:t>
      </w:r>
    </w:p>
    <w:p w14:paraId="0CEDF52B" w14:textId="77777777" w:rsidR="00857B90" w:rsidRDefault="00857B90" w:rsidP="00857B90">
      <w:r>
        <w:t xml:space="preserve">This Report is provided pursuant to </w:t>
      </w:r>
      <w:r w:rsidRPr="00AC27BA">
        <w:t xml:space="preserve">paragraph 33(1)(b) of the </w:t>
      </w:r>
      <w:r w:rsidRPr="00AC27BA">
        <w:rPr>
          <w:i/>
        </w:rPr>
        <w:t xml:space="preserve">Food </w:t>
      </w:r>
      <w:r w:rsidRPr="0012388D">
        <w:rPr>
          <w:i/>
        </w:rPr>
        <w:t>Standards Australia New Zealand Act 1991</w:t>
      </w:r>
      <w:r>
        <w:t xml:space="preserve"> (the FSANZ Act).</w:t>
      </w:r>
    </w:p>
    <w:p w14:paraId="1FE3354F" w14:textId="77777777" w:rsidR="00857B90" w:rsidRDefault="00857B90" w:rsidP="00857B90"/>
    <w:p w14:paraId="6A80E480" w14:textId="77777777" w:rsidR="00857B90" w:rsidRDefault="00857B90" w:rsidP="00857B90"/>
    <w:p w14:paraId="6DCAE34E" w14:textId="77777777" w:rsidR="00857B90" w:rsidRDefault="00857B90" w:rsidP="00857B90">
      <w:pPr>
        <w:sectPr w:rsidR="00857B90" w:rsidSect="00EB576F">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pgNumType w:fmt="lowerRoman" w:start="1"/>
          <w:cols w:space="708"/>
          <w:docGrid w:linePitch="360"/>
        </w:sectPr>
      </w:pPr>
    </w:p>
    <w:p w14:paraId="1B7F1B41" w14:textId="77777777" w:rsidR="00857B90" w:rsidRDefault="00857B90" w:rsidP="00857B90">
      <w:pPr>
        <w:jc w:val="center"/>
        <w:rPr>
          <w:sz w:val="28"/>
          <w:szCs w:val="28"/>
        </w:rPr>
      </w:pPr>
      <w:r w:rsidRPr="00EC66BB">
        <w:rPr>
          <w:sz w:val="28"/>
          <w:szCs w:val="28"/>
        </w:rPr>
        <w:lastRenderedPageBreak/>
        <w:t xml:space="preserve">Table of </w:t>
      </w:r>
      <w:r>
        <w:rPr>
          <w:sz w:val="28"/>
          <w:szCs w:val="28"/>
        </w:rPr>
        <w:t>c</w:t>
      </w:r>
      <w:r w:rsidRPr="00EC66BB">
        <w:rPr>
          <w:sz w:val="28"/>
          <w:szCs w:val="28"/>
        </w:rPr>
        <w:t>ontents</w:t>
      </w:r>
    </w:p>
    <w:p w14:paraId="76454016" w14:textId="77777777" w:rsidR="00857B90" w:rsidRPr="00346622" w:rsidRDefault="00857B90" w:rsidP="00857B90">
      <w:pPr>
        <w:rPr>
          <w:rFonts w:cs="Arial"/>
          <w:sz w:val="20"/>
          <w:szCs w:val="20"/>
        </w:rPr>
      </w:pPr>
    </w:p>
    <w:p w14:paraId="64CC82F4" w14:textId="767206B0" w:rsidR="003A03EA" w:rsidRDefault="00857B90">
      <w:pPr>
        <w:pStyle w:val="TOC1"/>
        <w:tabs>
          <w:tab w:val="right" w:leader="dot" w:pos="9060"/>
        </w:tabs>
        <w:rPr>
          <w:rFonts w:eastAsiaTheme="minorEastAsia" w:cstheme="minorBidi"/>
          <w:b w:val="0"/>
          <w:bCs w:val="0"/>
          <w:caps w:val="0"/>
          <w:noProof/>
          <w:sz w:val="22"/>
          <w:szCs w:val="22"/>
          <w:lang w:val="en-NZ" w:eastAsia="en-NZ"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132711419" w:history="1">
        <w:r w:rsidR="003A03EA" w:rsidRPr="00995852">
          <w:rPr>
            <w:rStyle w:val="Hyperlink"/>
            <w:noProof/>
          </w:rPr>
          <w:t>Executive summary</w:t>
        </w:r>
        <w:r w:rsidR="003A03EA">
          <w:rPr>
            <w:noProof/>
            <w:webHidden/>
          </w:rPr>
          <w:tab/>
        </w:r>
        <w:r w:rsidR="003A03EA">
          <w:rPr>
            <w:noProof/>
            <w:webHidden/>
          </w:rPr>
          <w:fldChar w:fldCharType="begin"/>
        </w:r>
        <w:r w:rsidR="003A03EA">
          <w:rPr>
            <w:noProof/>
            <w:webHidden/>
          </w:rPr>
          <w:instrText xml:space="preserve"> PAGEREF _Toc132711419 \h </w:instrText>
        </w:r>
        <w:r w:rsidR="003A03EA">
          <w:rPr>
            <w:noProof/>
            <w:webHidden/>
          </w:rPr>
        </w:r>
        <w:r w:rsidR="003A03EA">
          <w:rPr>
            <w:noProof/>
            <w:webHidden/>
          </w:rPr>
          <w:fldChar w:fldCharType="separate"/>
        </w:r>
        <w:r w:rsidR="001F7190">
          <w:rPr>
            <w:noProof/>
            <w:webHidden/>
          </w:rPr>
          <w:t>2</w:t>
        </w:r>
        <w:r w:rsidR="003A03EA">
          <w:rPr>
            <w:noProof/>
            <w:webHidden/>
          </w:rPr>
          <w:fldChar w:fldCharType="end"/>
        </w:r>
      </w:hyperlink>
    </w:p>
    <w:p w14:paraId="14C8B57E" w14:textId="5767E995" w:rsidR="003A03EA" w:rsidRDefault="001F7190">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132711420" w:history="1">
        <w:r w:rsidR="003A03EA" w:rsidRPr="00995852">
          <w:rPr>
            <w:rStyle w:val="Hyperlink"/>
            <w:noProof/>
          </w:rPr>
          <w:t>1</w:t>
        </w:r>
        <w:r w:rsidR="003A03EA">
          <w:rPr>
            <w:rFonts w:eastAsiaTheme="minorEastAsia" w:cstheme="minorBidi"/>
            <w:b w:val="0"/>
            <w:bCs w:val="0"/>
            <w:caps w:val="0"/>
            <w:noProof/>
            <w:sz w:val="22"/>
            <w:szCs w:val="22"/>
            <w:lang w:val="en-NZ" w:eastAsia="en-NZ" w:bidi="ar-SA"/>
          </w:rPr>
          <w:tab/>
        </w:r>
        <w:r w:rsidR="003A03EA" w:rsidRPr="00995852">
          <w:rPr>
            <w:rStyle w:val="Hyperlink"/>
            <w:noProof/>
          </w:rPr>
          <w:t>Introduction</w:t>
        </w:r>
        <w:r w:rsidR="003A03EA">
          <w:rPr>
            <w:noProof/>
            <w:webHidden/>
          </w:rPr>
          <w:tab/>
        </w:r>
        <w:r w:rsidR="003A03EA">
          <w:rPr>
            <w:noProof/>
            <w:webHidden/>
          </w:rPr>
          <w:fldChar w:fldCharType="begin"/>
        </w:r>
        <w:r w:rsidR="003A03EA">
          <w:rPr>
            <w:noProof/>
            <w:webHidden/>
          </w:rPr>
          <w:instrText xml:space="preserve"> PAGEREF _Toc132711420 \h </w:instrText>
        </w:r>
        <w:r w:rsidR="003A03EA">
          <w:rPr>
            <w:noProof/>
            <w:webHidden/>
          </w:rPr>
        </w:r>
        <w:r w:rsidR="003A03EA">
          <w:rPr>
            <w:noProof/>
            <w:webHidden/>
          </w:rPr>
          <w:fldChar w:fldCharType="separate"/>
        </w:r>
        <w:r>
          <w:rPr>
            <w:noProof/>
            <w:webHidden/>
          </w:rPr>
          <w:t>3</w:t>
        </w:r>
        <w:r w:rsidR="003A03EA">
          <w:rPr>
            <w:noProof/>
            <w:webHidden/>
          </w:rPr>
          <w:fldChar w:fldCharType="end"/>
        </w:r>
      </w:hyperlink>
    </w:p>
    <w:p w14:paraId="72E756FF" w14:textId="61FF7AB3" w:rsidR="003A03EA" w:rsidRDefault="001F7190">
      <w:pPr>
        <w:pStyle w:val="TOC2"/>
        <w:tabs>
          <w:tab w:val="left" w:pos="880"/>
          <w:tab w:val="right" w:leader="dot" w:pos="9060"/>
        </w:tabs>
        <w:rPr>
          <w:rFonts w:eastAsiaTheme="minorEastAsia" w:cstheme="minorBidi"/>
          <w:smallCaps w:val="0"/>
          <w:noProof/>
          <w:sz w:val="22"/>
          <w:szCs w:val="22"/>
          <w:lang w:val="en-NZ" w:eastAsia="en-NZ" w:bidi="ar-SA"/>
        </w:rPr>
      </w:pPr>
      <w:hyperlink w:anchor="_Toc132711421" w:history="1">
        <w:r w:rsidR="003A03EA" w:rsidRPr="00995852">
          <w:rPr>
            <w:rStyle w:val="Hyperlink"/>
            <w:noProof/>
          </w:rPr>
          <w:t>1.1</w:t>
        </w:r>
        <w:r w:rsidR="003A03EA">
          <w:rPr>
            <w:rFonts w:eastAsiaTheme="minorEastAsia" w:cstheme="minorBidi"/>
            <w:smallCaps w:val="0"/>
            <w:noProof/>
            <w:sz w:val="22"/>
            <w:szCs w:val="22"/>
            <w:lang w:val="en-NZ" w:eastAsia="en-NZ" w:bidi="ar-SA"/>
          </w:rPr>
          <w:tab/>
        </w:r>
        <w:r w:rsidR="003A03EA" w:rsidRPr="00995852">
          <w:rPr>
            <w:rStyle w:val="Hyperlink"/>
            <w:noProof/>
          </w:rPr>
          <w:t>The applicant</w:t>
        </w:r>
        <w:r w:rsidR="003A03EA">
          <w:rPr>
            <w:noProof/>
            <w:webHidden/>
          </w:rPr>
          <w:tab/>
        </w:r>
        <w:r w:rsidR="003A03EA">
          <w:rPr>
            <w:noProof/>
            <w:webHidden/>
          </w:rPr>
          <w:fldChar w:fldCharType="begin"/>
        </w:r>
        <w:r w:rsidR="003A03EA">
          <w:rPr>
            <w:noProof/>
            <w:webHidden/>
          </w:rPr>
          <w:instrText xml:space="preserve"> PAGEREF _Toc132711421 \h </w:instrText>
        </w:r>
        <w:r w:rsidR="003A03EA">
          <w:rPr>
            <w:noProof/>
            <w:webHidden/>
          </w:rPr>
        </w:r>
        <w:r w:rsidR="003A03EA">
          <w:rPr>
            <w:noProof/>
            <w:webHidden/>
          </w:rPr>
          <w:fldChar w:fldCharType="separate"/>
        </w:r>
        <w:r>
          <w:rPr>
            <w:noProof/>
            <w:webHidden/>
          </w:rPr>
          <w:t>3</w:t>
        </w:r>
        <w:r w:rsidR="003A03EA">
          <w:rPr>
            <w:noProof/>
            <w:webHidden/>
          </w:rPr>
          <w:fldChar w:fldCharType="end"/>
        </w:r>
      </w:hyperlink>
    </w:p>
    <w:p w14:paraId="300165A1" w14:textId="72076DF6" w:rsidR="003A03EA" w:rsidRDefault="001F7190">
      <w:pPr>
        <w:pStyle w:val="TOC2"/>
        <w:tabs>
          <w:tab w:val="left" w:pos="880"/>
          <w:tab w:val="right" w:leader="dot" w:pos="9060"/>
        </w:tabs>
        <w:rPr>
          <w:rFonts w:eastAsiaTheme="minorEastAsia" w:cstheme="minorBidi"/>
          <w:smallCaps w:val="0"/>
          <w:noProof/>
          <w:sz w:val="22"/>
          <w:szCs w:val="22"/>
          <w:lang w:val="en-NZ" w:eastAsia="en-NZ" w:bidi="ar-SA"/>
        </w:rPr>
      </w:pPr>
      <w:hyperlink w:anchor="_Toc132711422" w:history="1">
        <w:r w:rsidR="003A03EA" w:rsidRPr="00995852">
          <w:rPr>
            <w:rStyle w:val="Hyperlink"/>
            <w:noProof/>
          </w:rPr>
          <w:t>1.2</w:t>
        </w:r>
        <w:r w:rsidR="003A03EA">
          <w:rPr>
            <w:rFonts w:eastAsiaTheme="minorEastAsia" w:cstheme="minorBidi"/>
            <w:smallCaps w:val="0"/>
            <w:noProof/>
            <w:sz w:val="22"/>
            <w:szCs w:val="22"/>
            <w:lang w:val="en-NZ" w:eastAsia="en-NZ" w:bidi="ar-SA"/>
          </w:rPr>
          <w:tab/>
        </w:r>
        <w:r w:rsidR="003A03EA" w:rsidRPr="00995852">
          <w:rPr>
            <w:rStyle w:val="Hyperlink"/>
            <w:noProof/>
          </w:rPr>
          <w:t>The application</w:t>
        </w:r>
        <w:r w:rsidR="003A03EA">
          <w:rPr>
            <w:noProof/>
            <w:webHidden/>
          </w:rPr>
          <w:tab/>
        </w:r>
        <w:r w:rsidR="003A03EA">
          <w:rPr>
            <w:noProof/>
            <w:webHidden/>
          </w:rPr>
          <w:fldChar w:fldCharType="begin"/>
        </w:r>
        <w:r w:rsidR="003A03EA">
          <w:rPr>
            <w:noProof/>
            <w:webHidden/>
          </w:rPr>
          <w:instrText xml:space="preserve"> PAGEREF _Toc132711422 \h </w:instrText>
        </w:r>
        <w:r w:rsidR="003A03EA">
          <w:rPr>
            <w:noProof/>
            <w:webHidden/>
          </w:rPr>
        </w:r>
        <w:r w:rsidR="003A03EA">
          <w:rPr>
            <w:noProof/>
            <w:webHidden/>
          </w:rPr>
          <w:fldChar w:fldCharType="separate"/>
        </w:r>
        <w:r>
          <w:rPr>
            <w:noProof/>
            <w:webHidden/>
          </w:rPr>
          <w:t>3</w:t>
        </w:r>
        <w:r w:rsidR="003A03EA">
          <w:rPr>
            <w:noProof/>
            <w:webHidden/>
          </w:rPr>
          <w:fldChar w:fldCharType="end"/>
        </w:r>
      </w:hyperlink>
    </w:p>
    <w:p w14:paraId="40A4A808" w14:textId="39BA6C72" w:rsidR="003A03EA" w:rsidRDefault="001F7190">
      <w:pPr>
        <w:pStyle w:val="TOC2"/>
        <w:tabs>
          <w:tab w:val="left" w:pos="880"/>
          <w:tab w:val="right" w:leader="dot" w:pos="9060"/>
        </w:tabs>
        <w:rPr>
          <w:rFonts w:eastAsiaTheme="minorEastAsia" w:cstheme="minorBidi"/>
          <w:smallCaps w:val="0"/>
          <w:noProof/>
          <w:sz w:val="22"/>
          <w:szCs w:val="22"/>
          <w:lang w:val="en-NZ" w:eastAsia="en-NZ" w:bidi="ar-SA"/>
        </w:rPr>
      </w:pPr>
      <w:hyperlink w:anchor="_Toc132711423" w:history="1">
        <w:r w:rsidR="003A03EA" w:rsidRPr="00995852">
          <w:rPr>
            <w:rStyle w:val="Hyperlink"/>
            <w:noProof/>
          </w:rPr>
          <w:t>1.3</w:t>
        </w:r>
        <w:r w:rsidR="003A03EA">
          <w:rPr>
            <w:rFonts w:eastAsiaTheme="minorEastAsia" w:cstheme="minorBidi"/>
            <w:smallCaps w:val="0"/>
            <w:noProof/>
            <w:sz w:val="22"/>
            <w:szCs w:val="22"/>
            <w:lang w:val="en-NZ" w:eastAsia="en-NZ" w:bidi="ar-SA"/>
          </w:rPr>
          <w:tab/>
        </w:r>
        <w:r w:rsidR="003A03EA" w:rsidRPr="00995852">
          <w:rPr>
            <w:rStyle w:val="Hyperlink"/>
            <w:noProof/>
          </w:rPr>
          <w:t>The current Standard</w:t>
        </w:r>
        <w:r w:rsidR="003A03EA">
          <w:rPr>
            <w:noProof/>
            <w:webHidden/>
          </w:rPr>
          <w:tab/>
        </w:r>
        <w:r w:rsidR="003A03EA">
          <w:rPr>
            <w:noProof/>
            <w:webHidden/>
          </w:rPr>
          <w:fldChar w:fldCharType="begin"/>
        </w:r>
        <w:r w:rsidR="003A03EA">
          <w:rPr>
            <w:noProof/>
            <w:webHidden/>
          </w:rPr>
          <w:instrText xml:space="preserve"> PAGEREF _Toc132711423 \h </w:instrText>
        </w:r>
        <w:r w:rsidR="003A03EA">
          <w:rPr>
            <w:noProof/>
            <w:webHidden/>
          </w:rPr>
        </w:r>
        <w:r w:rsidR="003A03EA">
          <w:rPr>
            <w:noProof/>
            <w:webHidden/>
          </w:rPr>
          <w:fldChar w:fldCharType="separate"/>
        </w:r>
        <w:r>
          <w:rPr>
            <w:noProof/>
            <w:webHidden/>
          </w:rPr>
          <w:t>3</w:t>
        </w:r>
        <w:r w:rsidR="003A03EA">
          <w:rPr>
            <w:noProof/>
            <w:webHidden/>
          </w:rPr>
          <w:fldChar w:fldCharType="end"/>
        </w:r>
      </w:hyperlink>
    </w:p>
    <w:p w14:paraId="07CF0CE2" w14:textId="6C57F324" w:rsidR="003A03EA" w:rsidRDefault="001F7190">
      <w:pPr>
        <w:pStyle w:val="TOC2"/>
        <w:tabs>
          <w:tab w:val="left" w:pos="880"/>
          <w:tab w:val="right" w:leader="dot" w:pos="9060"/>
        </w:tabs>
        <w:rPr>
          <w:rFonts w:eastAsiaTheme="minorEastAsia" w:cstheme="minorBidi"/>
          <w:smallCaps w:val="0"/>
          <w:noProof/>
          <w:sz w:val="22"/>
          <w:szCs w:val="22"/>
          <w:lang w:val="en-NZ" w:eastAsia="en-NZ" w:bidi="ar-SA"/>
        </w:rPr>
      </w:pPr>
      <w:hyperlink w:anchor="_Toc132711424" w:history="1">
        <w:r w:rsidR="003A03EA" w:rsidRPr="00995852">
          <w:rPr>
            <w:rStyle w:val="Hyperlink"/>
            <w:noProof/>
          </w:rPr>
          <w:t>1.4</w:t>
        </w:r>
        <w:r w:rsidR="003A03EA">
          <w:rPr>
            <w:rFonts w:eastAsiaTheme="minorEastAsia" w:cstheme="minorBidi"/>
            <w:smallCaps w:val="0"/>
            <w:noProof/>
            <w:sz w:val="22"/>
            <w:szCs w:val="22"/>
            <w:lang w:val="en-NZ" w:eastAsia="en-NZ" w:bidi="ar-SA"/>
          </w:rPr>
          <w:tab/>
        </w:r>
        <w:r w:rsidR="003A03EA" w:rsidRPr="00995852">
          <w:rPr>
            <w:rStyle w:val="Hyperlink"/>
            <w:noProof/>
          </w:rPr>
          <w:t>Reasons for accepting application</w:t>
        </w:r>
        <w:r w:rsidR="003A03EA">
          <w:rPr>
            <w:noProof/>
            <w:webHidden/>
          </w:rPr>
          <w:tab/>
        </w:r>
        <w:r w:rsidR="003A03EA">
          <w:rPr>
            <w:noProof/>
            <w:webHidden/>
          </w:rPr>
          <w:fldChar w:fldCharType="begin"/>
        </w:r>
        <w:r w:rsidR="003A03EA">
          <w:rPr>
            <w:noProof/>
            <w:webHidden/>
          </w:rPr>
          <w:instrText xml:space="preserve"> PAGEREF _Toc132711424 \h </w:instrText>
        </w:r>
        <w:r w:rsidR="003A03EA">
          <w:rPr>
            <w:noProof/>
            <w:webHidden/>
          </w:rPr>
        </w:r>
        <w:r w:rsidR="003A03EA">
          <w:rPr>
            <w:noProof/>
            <w:webHidden/>
          </w:rPr>
          <w:fldChar w:fldCharType="separate"/>
        </w:r>
        <w:r>
          <w:rPr>
            <w:noProof/>
            <w:webHidden/>
          </w:rPr>
          <w:t>5</w:t>
        </w:r>
        <w:r w:rsidR="003A03EA">
          <w:rPr>
            <w:noProof/>
            <w:webHidden/>
          </w:rPr>
          <w:fldChar w:fldCharType="end"/>
        </w:r>
      </w:hyperlink>
    </w:p>
    <w:p w14:paraId="2D2DE2A4" w14:textId="75F19214" w:rsidR="003A03EA" w:rsidRDefault="001F7190">
      <w:pPr>
        <w:pStyle w:val="TOC2"/>
        <w:tabs>
          <w:tab w:val="left" w:pos="880"/>
          <w:tab w:val="right" w:leader="dot" w:pos="9060"/>
        </w:tabs>
        <w:rPr>
          <w:rFonts w:eastAsiaTheme="minorEastAsia" w:cstheme="minorBidi"/>
          <w:smallCaps w:val="0"/>
          <w:noProof/>
          <w:sz w:val="22"/>
          <w:szCs w:val="22"/>
          <w:lang w:val="en-NZ" w:eastAsia="en-NZ" w:bidi="ar-SA"/>
        </w:rPr>
      </w:pPr>
      <w:hyperlink w:anchor="_Toc132711425" w:history="1">
        <w:r w:rsidR="003A03EA" w:rsidRPr="00995852">
          <w:rPr>
            <w:rStyle w:val="Hyperlink"/>
            <w:noProof/>
          </w:rPr>
          <w:t>1.5</w:t>
        </w:r>
        <w:r w:rsidR="003A03EA">
          <w:rPr>
            <w:rFonts w:eastAsiaTheme="minorEastAsia" w:cstheme="minorBidi"/>
            <w:smallCaps w:val="0"/>
            <w:noProof/>
            <w:sz w:val="22"/>
            <w:szCs w:val="22"/>
            <w:lang w:val="en-NZ" w:eastAsia="en-NZ" w:bidi="ar-SA"/>
          </w:rPr>
          <w:tab/>
        </w:r>
        <w:r w:rsidR="003A03EA" w:rsidRPr="00995852">
          <w:rPr>
            <w:rStyle w:val="Hyperlink"/>
            <w:noProof/>
          </w:rPr>
          <w:t>Procedure for assessment</w:t>
        </w:r>
        <w:r w:rsidR="003A03EA">
          <w:rPr>
            <w:noProof/>
            <w:webHidden/>
          </w:rPr>
          <w:tab/>
        </w:r>
        <w:r w:rsidR="003A03EA">
          <w:rPr>
            <w:noProof/>
            <w:webHidden/>
          </w:rPr>
          <w:fldChar w:fldCharType="begin"/>
        </w:r>
        <w:r w:rsidR="003A03EA">
          <w:rPr>
            <w:noProof/>
            <w:webHidden/>
          </w:rPr>
          <w:instrText xml:space="preserve"> PAGEREF _Toc132711425 \h </w:instrText>
        </w:r>
        <w:r w:rsidR="003A03EA">
          <w:rPr>
            <w:noProof/>
            <w:webHidden/>
          </w:rPr>
        </w:r>
        <w:r w:rsidR="003A03EA">
          <w:rPr>
            <w:noProof/>
            <w:webHidden/>
          </w:rPr>
          <w:fldChar w:fldCharType="separate"/>
        </w:r>
        <w:r>
          <w:rPr>
            <w:noProof/>
            <w:webHidden/>
          </w:rPr>
          <w:t>5</w:t>
        </w:r>
        <w:r w:rsidR="003A03EA">
          <w:rPr>
            <w:noProof/>
            <w:webHidden/>
          </w:rPr>
          <w:fldChar w:fldCharType="end"/>
        </w:r>
      </w:hyperlink>
    </w:p>
    <w:p w14:paraId="545C6B51" w14:textId="30103FFF" w:rsidR="003A03EA" w:rsidRDefault="001F7190">
      <w:pPr>
        <w:pStyle w:val="TOC2"/>
        <w:tabs>
          <w:tab w:val="left" w:pos="880"/>
          <w:tab w:val="right" w:leader="dot" w:pos="9060"/>
        </w:tabs>
        <w:rPr>
          <w:rFonts w:eastAsiaTheme="minorEastAsia" w:cstheme="minorBidi"/>
          <w:smallCaps w:val="0"/>
          <w:noProof/>
          <w:sz w:val="22"/>
          <w:szCs w:val="22"/>
          <w:lang w:val="en-NZ" w:eastAsia="en-NZ" w:bidi="ar-SA"/>
        </w:rPr>
      </w:pPr>
      <w:hyperlink w:anchor="_Toc132711426" w:history="1">
        <w:r w:rsidR="003A03EA" w:rsidRPr="00995852">
          <w:rPr>
            <w:rStyle w:val="Hyperlink"/>
            <w:noProof/>
          </w:rPr>
          <w:t>1.6</w:t>
        </w:r>
        <w:r w:rsidR="003A03EA">
          <w:rPr>
            <w:rFonts w:eastAsiaTheme="minorEastAsia" w:cstheme="minorBidi"/>
            <w:smallCaps w:val="0"/>
            <w:noProof/>
            <w:sz w:val="22"/>
            <w:szCs w:val="22"/>
            <w:lang w:val="en-NZ" w:eastAsia="en-NZ" w:bidi="ar-SA"/>
          </w:rPr>
          <w:tab/>
        </w:r>
        <w:r w:rsidR="003A03EA" w:rsidRPr="00995852">
          <w:rPr>
            <w:rStyle w:val="Hyperlink"/>
            <w:noProof/>
          </w:rPr>
          <w:t>Decision</w:t>
        </w:r>
        <w:r w:rsidR="003A03EA">
          <w:rPr>
            <w:noProof/>
            <w:webHidden/>
          </w:rPr>
          <w:tab/>
        </w:r>
        <w:r w:rsidR="003A03EA">
          <w:rPr>
            <w:noProof/>
            <w:webHidden/>
          </w:rPr>
          <w:fldChar w:fldCharType="begin"/>
        </w:r>
        <w:r w:rsidR="003A03EA">
          <w:rPr>
            <w:noProof/>
            <w:webHidden/>
          </w:rPr>
          <w:instrText xml:space="preserve"> PAGEREF _Toc132711426 \h </w:instrText>
        </w:r>
        <w:r w:rsidR="003A03EA">
          <w:rPr>
            <w:noProof/>
            <w:webHidden/>
          </w:rPr>
        </w:r>
        <w:r w:rsidR="003A03EA">
          <w:rPr>
            <w:noProof/>
            <w:webHidden/>
          </w:rPr>
          <w:fldChar w:fldCharType="separate"/>
        </w:r>
        <w:r>
          <w:rPr>
            <w:noProof/>
            <w:webHidden/>
          </w:rPr>
          <w:t>5</w:t>
        </w:r>
        <w:r w:rsidR="003A03EA">
          <w:rPr>
            <w:noProof/>
            <w:webHidden/>
          </w:rPr>
          <w:fldChar w:fldCharType="end"/>
        </w:r>
      </w:hyperlink>
    </w:p>
    <w:p w14:paraId="788DF609" w14:textId="4B31196F" w:rsidR="003A03EA" w:rsidRDefault="001F7190">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132711427" w:history="1">
        <w:r w:rsidR="003A03EA" w:rsidRPr="00995852">
          <w:rPr>
            <w:rStyle w:val="Hyperlink"/>
            <w:noProof/>
          </w:rPr>
          <w:t>2</w:t>
        </w:r>
        <w:r w:rsidR="003A03EA">
          <w:rPr>
            <w:rFonts w:eastAsiaTheme="minorEastAsia" w:cstheme="minorBidi"/>
            <w:b w:val="0"/>
            <w:bCs w:val="0"/>
            <w:caps w:val="0"/>
            <w:noProof/>
            <w:sz w:val="22"/>
            <w:szCs w:val="22"/>
            <w:lang w:val="en-NZ" w:eastAsia="en-NZ" w:bidi="ar-SA"/>
          </w:rPr>
          <w:tab/>
        </w:r>
        <w:r w:rsidR="003A03EA" w:rsidRPr="00995852">
          <w:rPr>
            <w:rStyle w:val="Hyperlink"/>
            <w:noProof/>
          </w:rPr>
          <w:t>Summary of the findings</w:t>
        </w:r>
        <w:r w:rsidR="003A03EA">
          <w:rPr>
            <w:noProof/>
            <w:webHidden/>
          </w:rPr>
          <w:tab/>
        </w:r>
        <w:r w:rsidR="003A03EA">
          <w:rPr>
            <w:noProof/>
            <w:webHidden/>
          </w:rPr>
          <w:fldChar w:fldCharType="begin"/>
        </w:r>
        <w:r w:rsidR="003A03EA">
          <w:rPr>
            <w:noProof/>
            <w:webHidden/>
          </w:rPr>
          <w:instrText xml:space="preserve"> PAGEREF _Toc132711427 \h </w:instrText>
        </w:r>
        <w:r w:rsidR="003A03EA">
          <w:rPr>
            <w:noProof/>
            <w:webHidden/>
          </w:rPr>
        </w:r>
        <w:r w:rsidR="003A03EA">
          <w:rPr>
            <w:noProof/>
            <w:webHidden/>
          </w:rPr>
          <w:fldChar w:fldCharType="separate"/>
        </w:r>
        <w:r>
          <w:rPr>
            <w:noProof/>
            <w:webHidden/>
          </w:rPr>
          <w:t>5</w:t>
        </w:r>
        <w:r w:rsidR="003A03EA">
          <w:rPr>
            <w:noProof/>
            <w:webHidden/>
          </w:rPr>
          <w:fldChar w:fldCharType="end"/>
        </w:r>
      </w:hyperlink>
    </w:p>
    <w:p w14:paraId="7924C1E2" w14:textId="46E1F688" w:rsidR="003A03EA" w:rsidRDefault="001F7190">
      <w:pPr>
        <w:pStyle w:val="TOC2"/>
        <w:tabs>
          <w:tab w:val="left" w:pos="880"/>
          <w:tab w:val="right" w:leader="dot" w:pos="9060"/>
        </w:tabs>
        <w:rPr>
          <w:rFonts w:eastAsiaTheme="minorEastAsia" w:cstheme="minorBidi"/>
          <w:smallCaps w:val="0"/>
          <w:noProof/>
          <w:sz w:val="22"/>
          <w:szCs w:val="22"/>
          <w:lang w:val="en-NZ" w:eastAsia="en-NZ" w:bidi="ar-SA"/>
        </w:rPr>
      </w:pPr>
      <w:hyperlink w:anchor="_Toc132711428" w:history="1">
        <w:r w:rsidR="003A03EA" w:rsidRPr="00995852">
          <w:rPr>
            <w:rStyle w:val="Hyperlink"/>
            <w:noProof/>
          </w:rPr>
          <w:t>2.1</w:t>
        </w:r>
        <w:r w:rsidR="003A03EA">
          <w:rPr>
            <w:rFonts w:eastAsiaTheme="minorEastAsia" w:cstheme="minorBidi"/>
            <w:smallCaps w:val="0"/>
            <w:noProof/>
            <w:sz w:val="22"/>
            <w:szCs w:val="22"/>
            <w:lang w:val="en-NZ" w:eastAsia="en-NZ" w:bidi="ar-SA"/>
          </w:rPr>
          <w:tab/>
        </w:r>
        <w:r w:rsidR="003A03EA" w:rsidRPr="00995852">
          <w:rPr>
            <w:rStyle w:val="Hyperlink"/>
            <w:noProof/>
          </w:rPr>
          <w:t>Summary of issues raised in submissions</w:t>
        </w:r>
        <w:r w:rsidR="003A03EA">
          <w:rPr>
            <w:noProof/>
            <w:webHidden/>
          </w:rPr>
          <w:tab/>
        </w:r>
        <w:r w:rsidR="003A03EA">
          <w:rPr>
            <w:noProof/>
            <w:webHidden/>
          </w:rPr>
          <w:fldChar w:fldCharType="begin"/>
        </w:r>
        <w:r w:rsidR="003A03EA">
          <w:rPr>
            <w:noProof/>
            <w:webHidden/>
          </w:rPr>
          <w:instrText xml:space="preserve"> PAGEREF _Toc132711428 \h </w:instrText>
        </w:r>
        <w:r w:rsidR="003A03EA">
          <w:rPr>
            <w:noProof/>
            <w:webHidden/>
          </w:rPr>
        </w:r>
        <w:r w:rsidR="003A03EA">
          <w:rPr>
            <w:noProof/>
            <w:webHidden/>
          </w:rPr>
          <w:fldChar w:fldCharType="separate"/>
        </w:r>
        <w:r>
          <w:rPr>
            <w:noProof/>
            <w:webHidden/>
          </w:rPr>
          <w:t>5</w:t>
        </w:r>
        <w:r w:rsidR="003A03EA">
          <w:rPr>
            <w:noProof/>
            <w:webHidden/>
          </w:rPr>
          <w:fldChar w:fldCharType="end"/>
        </w:r>
      </w:hyperlink>
    </w:p>
    <w:p w14:paraId="122EFCCE" w14:textId="683ADFD5" w:rsidR="003A03EA" w:rsidRDefault="001F7190">
      <w:pPr>
        <w:pStyle w:val="TOC2"/>
        <w:tabs>
          <w:tab w:val="left" w:pos="880"/>
          <w:tab w:val="right" w:leader="dot" w:pos="9060"/>
        </w:tabs>
        <w:rPr>
          <w:rFonts w:eastAsiaTheme="minorEastAsia" w:cstheme="minorBidi"/>
          <w:smallCaps w:val="0"/>
          <w:noProof/>
          <w:sz w:val="22"/>
          <w:szCs w:val="22"/>
          <w:lang w:val="en-NZ" w:eastAsia="en-NZ" w:bidi="ar-SA"/>
        </w:rPr>
      </w:pPr>
      <w:hyperlink w:anchor="_Toc132711429" w:history="1">
        <w:r w:rsidR="003A03EA" w:rsidRPr="00995852">
          <w:rPr>
            <w:rStyle w:val="Hyperlink"/>
            <w:noProof/>
          </w:rPr>
          <w:t>2.2</w:t>
        </w:r>
        <w:r w:rsidR="003A03EA">
          <w:rPr>
            <w:rFonts w:eastAsiaTheme="minorEastAsia" w:cstheme="minorBidi"/>
            <w:smallCaps w:val="0"/>
            <w:noProof/>
            <w:sz w:val="22"/>
            <w:szCs w:val="22"/>
            <w:lang w:val="en-NZ" w:eastAsia="en-NZ" w:bidi="ar-SA"/>
          </w:rPr>
          <w:tab/>
        </w:r>
        <w:r w:rsidR="003A03EA" w:rsidRPr="00995852">
          <w:rPr>
            <w:rStyle w:val="Hyperlink"/>
            <w:noProof/>
          </w:rPr>
          <w:t>Risk assessment</w:t>
        </w:r>
        <w:r w:rsidR="003A03EA">
          <w:rPr>
            <w:noProof/>
            <w:webHidden/>
          </w:rPr>
          <w:tab/>
        </w:r>
        <w:r w:rsidR="003A03EA">
          <w:rPr>
            <w:noProof/>
            <w:webHidden/>
          </w:rPr>
          <w:fldChar w:fldCharType="begin"/>
        </w:r>
        <w:r w:rsidR="003A03EA">
          <w:rPr>
            <w:noProof/>
            <w:webHidden/>
          </w:rPr>
          <w:instrText xml:space="preserve"> PAGEREF _Toc132711429 \h </w:instrText>
        </w:r>
        <w:r w:rsidR="003A03EA">
          <w:rPr>
            <w:noProof/>
            <w:webHidden/>
          </w:rPr>
        </w:r>
        <w:r w:rsidR="003A03EA">
          <w:rPr>
            <w:noProof/>
            <w:webHidden/>
          </w:rPr>
          <w:fldChar w:fldCharType="separate"/>
        </w:r>
        <w:r>
          <w:rPr>
            <w:noProof/>
            <w:webHidden/>
          </w:rPr>
          <w:t>5</w:t>
        </w:r>
        <w:r w:rsidR="003A03EA">
          <w:rPr>
            <w:noProof/>
            <w:webHidden/>
          </w:rPr>
          <w:fldChar w:fldCharType="end"/>
        </w:r>
      </w:hyperlink>
    </w:p>
    <w:p w14:paraId="2FA52E7F" w14:textId="526964DA" w:rsidR="003A03EA" w:rsidRDefault="001F7190">
      <w:pPr>
        <w:pStyle w:val="TOC2"/>
        <w:tabs>
          <w:tab w:val="left" w:pos="880"/>
          <w:tab w:val="right" w:leader="dot" w:pos="9060"/>
        </w:tabs>
        <w:rPr>
          <w:rFonts w:eastAsiaTheme="minorEastAsia" w:cstheme="minorBidi"/>
          <w:smallCaps w:val="0"/>
          <w:noProof/>
          <w:sz w:val="22"/>
          <w:szCs w:val="22"/>
          <w:lang w:val="en-NZ" w:eastAsia="en-NZ" w:bidi="ar-SA"/>
        </w:rPr>
      </w:pPr>
      <w:hyperlink w:anchor="_Toc132711430" w:history="1">
        <w:r w:rsidR="003A03EA" w:rsidRPr="00995852">
          <w:rPr>
            <w:rStyle w:val="Hyperlink"/>
            <w:noProof/>
          </w:rPr>
          <w:t>2.3</w:t>
        </w:r>
        <w:r w:rsidR="003A03EA">
          <w:rPr>
            <w:rFonts w:eastAsiaTheme="minorEastAsia" w:cstheme="minorBidi"/>
            <w:smallCaps w:val="0"/>
            <w:noProof/>
            <w:sz w:val="22"/>
            <w:szCs w:val="22"/>
            <w:lang w:val="en-NZ" w:eastAsia="en-NZ" w:bidi="ar-SA"/>
          </w:rPr>
          <w:tab/>
        </w:r>
        <w:r w:rsidR="003A03EA" w:rsidRPr="00995852">
          <w:rPr>
            <w:rStyle w:val="Hyperlink"/>
            <w:noProof/>
          </w:rPr>
          <w:t>Risk management</w:t>
        </w:r>
        <w:r w:rsidR="003A03EA">
          <w:rPr>
            <w:noProof/>
            <w:webHidden/>
          </w:rPr>
          <w:tab/>
        </w:r>
        <w:r w:rsidR="003A03EA">
          <w:rPr>
            <w:noProof/>
            <w:webHidden/>
          </w:rPr>
          <w:fldChar w:fldCharType="begin"/>
        </w:r>
        <w:r w:rsidR="003A03EA">
          <w:rPr>
            <w:noProof/>
            <w:webHidden/>
          </w:rPr>
          <w:instrText xml:space="preserve"> PAGEREF _Toc132711430 \h </w:instrText>
        </w:r>
        <w:r w:rsidR="003A03EA">
          <w:rPr>
            <w:noProof/>
            <w:webHidden/>
          </w:rPr>
        </w:r>
        <w:r w:rsidR="003A03EA">
          <w:rPr>
            <w:noProof/>
            <w:webHidden/>
          </w:rPr>
          <w:fldChar w:fldCharType="separate"/>
        </w:r>
        <w:r>
          <w:rPr>
            <w:noProof/>
            <w:webHidden/>
          </w:rPr>
          <w:t>6</w:t>
        </w:r>
        <w:r w:rsidR="003A03EA">
          <w:rPr>
            <w:noProof/>
            <w:webHidden/>
          </w:rPr>
          <w:fldChar w:fldCharType="end"/>
        </w:r>
      </w:hyperlink>
    </w:p>
    <w:p w14:paraId="6EF598CC" w14:textId="5ED45E51" w:rsidR="003A03EA" w:rsidRDefault="001F7190">
      <w:pPr>
        <w:pStyle w:val="TOC3"/>
        <w:tabs>
          <w:tab w:val="left" w:pos="1100"/>
          <w:tab w:val="right" w:leader="dot" w:pos="9060"/>
        </w:tabs>
        <w:rPr>
          <w:rFonts w:eastAsiaTheme="minorEastAsia" w:cstheme="minorBidi"/>
          <w:i w:val="0"/>
          <w:iCs w:val="0"/>
          <w:noProof/>
          <w:sz w:val="22"/>
          <w:szCs w:val="22"/>
          <w:lang w:val="en-NZ" w:eastAsia="en-NZ" w:bidi="ar-SA"/>
        </w:rPr>
      </w:pPr>
      <w:hyperlink w:anchor="_Toc132711431" w:history="1">
        <w:r w:rsidR="003A03EA" w:rsidRPr="00995852">
          <w:rPr>
            <w:rStyle w:val="Hyperlink"/>
            <w:noProof/>
          </w:rPr>
          <w:t>2.2.1</w:t>
        </w:r>
        <w:r w:rsidR="003A03EA">
          <w:rPr>
            <w:rFonts w:eastAsiaTheme="minorEastAsia" w:cstheme="minorBidi"/>
            <w:i w:val="0"/>
            <w:iCs w:val="0"/>
            <w:noProof/>
            <w:sz w:val="22"/>
            <w:szCs w:val="22"/>
            <w:lang w:val="en-NZ" w:eastAsia="en-NZ" w:bidi="ar-SA"/>
          </w:rPr>
          <w:tab/>
        </w:r>
        <w:r w:rsidR="003A03EA" w:rsidRPr="00995852">
          <w:rPr>
            <w:rStyle w:val="Hyperlink"/>
            <w:noProof/>
          </w:rPr>
          <w:t>Regulatory approval for enzymes</w:t>
        </w:r>
        <w:r w:rsidR="003A03EA">
          <w:rPr>
            <w:noProof/>
            <w:webHidden/>
          </w:rPr>
          <w:tab/>
        </w:r>
        <w:r w:rsidR="003A03EA">
          <w:rPr>
            <w:noProof/>
            <w:webHidden/>
          </w:rPr>
          <w:fldChar w:fldCharType="begin"/>
        </w:r>
        <w:r w:rsidR="003A03EA">
          <w:rPr>
            <w:noProof/>
            <w:webHidden/>
          </w:rPr>
          <w:instrText xml:space="preserve"> PAGEREF _Toc132711431 \h </w:instrText>
        </w:r>
        <w:r w:rsidR="003A03EA">
          <w:rPr>
            <w:noProof/>
            <w:webHidden/>
          </w:rPr>
        </w:r>
        <w:r w:rsidR="003A03EA">
          <w:rPr>
            <w:noProof/>
            <w:webHidden/>
          </w:rPr>
          <w:fldChar w:fldCharType="separate"/>
        </w:r>
        <w:r>
          <w:rPr>
            <w:noProof/>
            <w:webHidden/>
          </w:rPr>
          <w:t>6</w:t>
        </w:r>
        <w:r w:rsidR="003A03EA">
          <w:rPr>
            <w:noProof/>
            <w:webHidden/>
          </w:rPr>
          <w:fldChar w:fldCharType="end"/>
        </w:r>
      </w:hyperlink>
    </w:p>
    <w:p w14:paraId="5EF3C211" w14:textId="0932F580" w:rsidR="003A03EA" w:rsidRDefault="001F7190">
      <w:pPr>
        <w:pStyle w:val="TOC3"/>
        <w:tabs>
          <w:tab w:val="left" w:pos="1100"/>
          <w:tab w:val="right" w:leader="dot" w:pos="9060"/>
        </w:tabs>
        <w:rPr>
          <w:rFonts w:eastAsiaTheme="minorEastAsia" w:cstheme="minorBidi"/>
          <w:i w:val="0"/>
          <w:iCs w:val="0"/>
          <w:noProof/>
          <w:sz w:val="22"/>
          <w:szCs w:val="22"/>
          <w:lang w:val="en-NZ" w:eastAsia="en-NZ" w:bidi="ar-SA"/>
        </w:rPr>
      </w:pPr>
      <w:hyperlink w:anchor="_Toc132711432" w:history="1">
        <w:r w:rsidR="003A03EA" w:rsidRPr="00995852">
          <w:rPr>
            <w:rStyle w:val="Hyperlink"/>
            <w:noProof/>
          </w:rPr>
          <w:t>2.2.2</w:t>
        </w:r>
        <w:r w:rsidR="003A03EA">
          <w:rPr>
            <w:rFonts w:eastAsiaTheme="minorEastAsia" w:cstheme="minorBidi"/>
            <w:i w:val="0"/>
            <w:iCs w:val="0"/>
            <w:noProof/>
            <w:sz w:val="22"/>
            <w:szCs w:val="22"/>
            <w:lang w:val="en-NZ" w:eastAsia="en-NZ" w:bidi="ar-SA"/>
          </w:rPr>
          <w:tab/>
        </w:r>
        <w:r w:rsidR="003A03EA" w:rsidRPr="00995852">
          <w:rPr>
            <w:rStyle w:val="Hyperlink"/>
            <w:noProof/>
          </w:rPr>
          <w:t>Nomenclature and specifications</w:t>
        </w:r>
        <w:r w:rsidR="003A03EA">
          <w:rPr>
            <w:noProof/>
            <w:webHidden/>
          </w:rPr>
          <w:tab/>
        </w:r>
        <w:r w:rsidR="003A03EA">
          <w:rPr>
            <w:noProof/>
            <w:webHidden/>
          </w:rPr>
          <w:fldChar w:fldCharType="begin"/>
        </w:r>
        <w:r w:rsidR="003A03EA">
          <w:rPr>
            <w:noProof/>
            <w:webHidden/>
          </w:rPr>
          <w:instrText xml:space="preserve"> PAGEREF _Toc132711432 \h </w:instrText>
        </w:r>
        <w:r w:rsidR="003A03EA">
          <w:rPr>
            <w:noProof/>
            <w:webHidden/>
          </w:rPr>
        </w:r>
        <w:r w:rsidR="003A03EA">
          <w:rPr>
            <w:noProof/>
            <w:webHidden/>
          </w:rPr>
          <w:fldChar w:fldCharType="separate"/>
        </w:r>
        <w:r>
          <w:rPr>
            <w:noProof/>
            <w:webHidden/>
          </w:rPr>
          <w:t>6</w:t>
        </w:r>
        <w:r w:rsidR="003A03EA">
          <w:rPr>
            <w:noProof/>
            <w:webHidden/>
          </w:rPr>
          <w:fldChar w:fldCharType="end"/>
        </w:r>
      </w:hyperlink>
    </w:p>
    <w:p w14:paraId="4868FF09" w14:textId="52B77203" w:rsidR="003A03EA" w:rsidRDefault="001F7190">
      <w:pPr>
        <w:pStyle w:val="TOC3"/>
        <w:tabs>
          <w:tab w:val="left" w:pos="1100"/>
          <w:tab w:val="right" w:leader="dot" w:pos="9060"/>
        </w:tabs>
        <w:rPr>
          <w:rFonts w:eastAsiaTheme="minorEastAsia" w:cstheme="minorBidi"/>
          <w:i w:val="0"/>
          <w:iCs w:val="0"/>
          <w:noProof/>
          <w:sz w:val="22"/>
          <w:szCs w:val="22"/>
          <w:lang w:val="en-NZ" w:eastAsia="en-NZ" w:bidi="ar-SA"/>
        </w:rPr>
      </w:pPr>
      <w:hyperlink w:anchor="_Toc132711433" w:history="1">
        <w:r w:rsidR="003A03EA" w:rsidRPr="00995852">
          <w:rPr>
            <w:rStyle w:val="Hyperlink"/>
            <w:noProof/>
          </w:rPr>
          <w:t>2.2.3</w:t>
        </w:r>
        <w:r w:rsidR="003A03EA">
          <w:rPr>
            <w:rFonts w:eastAsiaTheme="minorEastAsia" w:cstheme="minorBidi"/>
            <w:i w:val="0"/>
            <w:iCs w:val="0"/>
            <w:noProof/>
            <w:sz w:val="22"/>
            <w:szCs w:val="22"/>
            <w:lang w:val="en-NZ" w:eastAsia="en-NZ" w:bidi="ar-SA"/>
          </w:rPr>
          <w:tab/>
        </w:r>
        <w:r w:rsidR="003A03EA" w:rsidRPr="00995852">
          <w:rPr>
            <w:rStyle w:val="Hyperlink"/>
            <w:noProof/>
          </w:rPr>
          <w:t>Labelling</w:t>
        </w:r>
        <w:r w:rsidR="003A03EA">
          <w:rPr>
            <w:noProof/>
            <w:webHidden/>
          </w:rPr>
          <w:tab/>
        </w:r>
        <w:r w:rsidR="003A03EA">
          <w:rPr>
            <w:noProof/>
            <w:webHidden/>
          </w:rPr>
          <w:fldChar w:fldCharType="begin"/>
        </w:r>
        <w:r w:rsidR="003A03EA">
          <w:rPr>
            <w:noProof/>
            <w:webHidden/>
          </w:rPr>
          <w:instrText xml:space="preserve"> PAGEREF _Toc132711433 \h </w:instrText>
        </w:r>
        <w:r w:rsidR="003A03EA">
          <w:rPr>
            <w:noProof/>
            <w:webHidden/>
          </w:rPr>
        </w:r>
        <w:r w:rsidR="003A03EA">
          <w:rPr>
            <w:noProof/>
            <w:webHidden/>
          </w:rPr>
          <w:fldChar w:fldCharType="separate"/>
        </w:r>
        <w:r>
          <w:rPr>
            <w:noProof/>
            <w:webHidden/>
          </w:rPr>
          <w:t>7</w:t>
        </w:r>
        <w:r w:rsidR="003A03EA">
          <w:rPr>
            <w:noProof/>
            <w:webHidden/>
          </w:rPr>
          <w:fldChar w:fldCharType="end"/>
        </w:r>
      </w:hyperlink>
    </w:p>
    <w:p w14:paraId="7F0CD595" w14:textId="56CD7927" w:rsidR="003A03EA" w:rsidRDefault="001F7190">
      <w:pPr>
        <w:pStyle w:val="TOC3"/>
        <w:tabs>
          <w:tab w:val="left" w:pos="1100"/>
          <w:tab w:val="right" w:leader="dot" w:pos="9060"/>
        </w:tabs>
        <w:rPr>
          <w:rFonts w:eastAsiaTheme="minorEastAsia" w:cstheme="minorBidi"/>
          <w:i w:val="0"/>
          <w:iCs w:val="0"/>
          <w:noProof/>
          <w:sz w:val="22"/>
          <w:szCs w:val="22"/>
          <w:lang w:val="en-NZ" w:eastAsia="en-NZ" w:bidi="ar-SA"/>
        </w:rPr>
      </w:pPr>
      <w:hyperlink w:anchor="_Toc132711434" w:history="1">
        <w:r w:rsidR="003A03EA" w:rsidRPr="00995852">
          <w:rPr>
            <w:rStyle w:val="Hyperlink"/>
            <w:noProof/>
          </w:rPr>
          <w:t>2.2.4</w:t>
        </w:r>
        <w:r w:rsidR="003A03EA">
          <w:rPr>
            <w:rFonts w:eastAsiaTheme="minorEastAsia" w:cstheme="minorBidi"/>
            <w:i w:val="0"/>
            <w:iCs w:val="0"/>
            <w:noProof/>
            <w:sz w:val="22"/>
            <w:szCs w:val="22"/>
            <w:lang w:val="en-NZ" w:eastAsia="en-NZ" w:bidi="ar-SA"/>
          </w:rPr>
          <w:tab/>
        </w:r>
        <w:r w:rsidR="003A03EA" w:rsidRPr="00995852">
          <w:rPr>
            <w:rStyle w:val="Hyperlink"/>
            <w:noProof/>
          </w:rPr>
          <w:t>Risk management conclusion</w:t>
        </w:r>
        <w:r w:rsidR="003A03EA">
          <w:rPr>
            <w:noProof/>
            <w:webHidden/>
          </w:rPr>
          <w:tab/>
        </w:r>
        <w:r w:rsidR="003A03EA">
          <w:rPr>
            <w:noProof/>
            <w:webHidden/>
          </w:rPr>
          <w:fldChar w:fldCharType="begin"/>
        </w:r>
        <w:r w:rsidR="003A03EA">
          <w:rPr>
            <w:noProof/>
            <w:webHidden/>
          </w:rPr>
          <w:instrText xml:space="preserve"> PAGEREF _Toc132711434 \h </w:instrText>
        </w:r>
        <w:r w:rsidR="003A03EA">
          <w:rPr>
            <w:noProof/>
            <w:webHidden/>
          </w:rPr>
        </w:r>
        <w:r w:rsidR="003A03EA">
          <w:rPr>
            <w:noProof/>
            <w:webHidden/>
          </w:rPr>
          <w:fldChar w:fldCharType="separate"/>
        </w:r>
        <w:r>
          <w:rPr>
            <w:noProof/>
            <w:webHidden/>
          </w:rPr>
          <w:t>7</w:t>
        </w:r>
        <w:r w:rsidR="003A03EA">
          <w:rPr>
            <w:noProof/>
            <w:webHidden/>
          </w:rPr>
          <w:fldChar w:fldCharType="end"/>
        </w:r>
      </w:hyperlink>
    </w:p>
    <w:p w14:paraId="2A6AA2C0" w14:textId="5A4B4E1C" w:rsidR="003A03EA" w:rsidRDefault="001F7190">
      <w:pPr>
        <w:pStyle w:val="TOC2"/>
        <w:tabs>
          <w:tab w:val="left" w:pos="880"/>
          <w:tab w:val="right" w:leader="dot" w:pos="9060"/>
        </w:tabs>
        <w:rPr>
          <w:rFonts w:eastAsiaTheme="minorEastAsia" w:cstheme="minorBidi"/>
          <w:smallCaps w:val="0"/>
          <w:noProof/>
          <w:sz w:val="22"/>
          <w:szCs w:val="22"/>
          <w:lang w:val="en-NZ" w:eastAsia="en-NZ" w:bidi="ar-SA"/>
        </w:rPr>
      </w:pPr>
      <w:hyperlink w:anchor="_Toc132711435" w:history="1">
        <w:r w:rsidR="003A03EA" w:rsidRPr="00995852">
          <w:rPr>
            <w:rStyle w:val="Hyperlink"/>
            <w:noProof/>
          </w:rPr>
          <w:t>2.4</w:t>
        </w:r>
        <w:r w:rsidR="003A03EA">
          <w:rPr>
            <w:rFonts w:eastAsiaTheme="minorEastAsia" w:cstheme="minorBidi"/>
            <w:smallCaps w:val="0"/>
            <w:noProof/>
            <w:sz w:val="22"/>
            <w:szCs w:val="22"/>
            <w:lang w:val="en-NZ" w:eastAsia="en-NZ" w:bidi="ar-SA"/>
          </w:rPr>
          <w:tab/>
        </w:r>
        <w:r w:rsidR="003A03EA" w:rsidRPr="00995852">
          <w:rPr>
            <w:rStyle w:val="Hyperlink"/>
            <w:noProof/>
          </w:rPr>
          <w:t>Risk communication</w:t>
        </w:r>
        <w:r w:rsidR="003A03EA">
          <w:rPr>
            <w:noProof/>
            <w:webHidden/>
          </w:rPr>
          <w:tab/>
        </w:r>
        <w:r w:rsidR="003A03EA">
          <w:rPr>
            <w:noProof/>
            <w:webHidden/>
          </w:rPr>
          <w:fldChar w:fldCharType="begin"/>
        </w:r>
        <w:r w:rsidR="003A03EA">
          <w:rPr>
            <w:noProof/>
            <w:webHidden/>
          </w:rPr>
          <w:instrText xml:space="preserve"> PAGEREF _Toc132711435 \h </w:instrText>
        </w:r>
        <w:r w:rsidR="003A03EA">
          <w:rPr>
            <w:noProof/>
            <w:webHidden/>
          </w:rPr>
        </w:r>
        <w:r w:rsidR="003A03EA">
          <w:rPr>
            <w:noProof/>
            <w:webHidden/>
          </w:rPr>
          <w:fldChar w:fldCharType="separate"/>
        </w:r>
        <w:r>
          <w:rPr>
            <w:noProof/>
            <w:webHidden/>
          </w:rPr>
          <w:t>7</w:t>
        </w:r>
        <w:r w:rsidR="003A03EA">
          <w:rPr>
            <w:noProof/>
            <w:webHidden/>
          </w:rPr>
          <w:fldChar w:fldCharType="end"/>
        </w:r>
      </w:hyperlink>
    </w:p>
    <w:p w14:paraId="57F26FB3" w14:textId="2997296D" w:rsidR="003A03EA" w:rsidRDefault="001F7190">
      <w:pPr>
        <w:pStyle w:val="TOC3"/>
        <w:tabs>
          <w:tab w:val="left" w:pos="1100"/>
          <w:tab w:val="right" w:leader="dot" w:pos="9060"/>
        </w:tabs>
        <w:rPr>
          <w:rFonts w:eastAsiaTheme="minorEastAsia" w:cstheme="minorBidi"/>
          <w:i w:val="0"/>
          <w:iCs w:val="0"/>
          <w:noProof/>
          <w:sz w:val="22"/>
          <w:szCs w:val="22"/>
          <w:lang w:val="en-NZ" w:eastAsia="en-NZ" w:bidi="ar-SA"/>
        </w:rPr>
      </w:pPr>
      <w:hyperlink w:anchor="_Toc132711436" w:history="1">
        <w:r w:rsidR="003A03EA" w:rsidRPr="00995852">
          <w:rPr>
            <w:rStyle w:val="Hyperlink"/>
            <w:noProof/>
          </w:rPr>
          <w:t>2.4.1</w:t>
        </w:r>
        <w:r w:rsidR="003A03EA">
          <w:rPr>
            <w:rFonts w:eastAsiaTheme="minorEastAsia" w:cstheme="minorBidi"/>
            <w:i w:val="0"/>
            <w:iCs w:val="0"/>
            <w:noProof/>
            <w:sz w:val="22"/>
            <w:szCs w:val="22"/>
            <w:lang w:val="en-NZ" w:eastAsia="en-NZ" w:bidi="ar-SA"/>
          </w:rPr>
          <w:tab/>
        </w:r>
        <w:r w:rsidR="003A03EA" w:rsidRPr="00995852">
          <w:rPr>
            <w:rStyle w:val="Hyperlink"/>
            <w:noProof/>
          </w:rPr>
          <w:t>Consultation</w:t>
        </w:r>
        <w:r w:rsidR="003A03EA">
          <w:rPr>
            <w:noProof/>
            <w:webHidden/>
          </w:rPr>
          <w:tab/>
        </w:r>
        <w:r w:rsidR="003A03EA">
          <w:rPr>
            <w:noProof/>
            <w:webHidden/>
          </w:rPr>
          <w:fldChar w:fldCharType="begin"/>
        </w:r>
        <w:r w:rsidR="003A03EA">
          <w:rPr>
            <w:noProof/>
            <w:webHidden/>
          </w:rPr>
          <w:instrText xml:space="preserve"> PAGEREF _Toc132711436 \h </w:instrText>
        </w:r>
        <w:r w:rsidR="003A03EA">
          <w:rPr>
            <w:noProof/>
            <w:webHidden/>
          </w:rPr>
        </w:r>
        <w:r w:rsidR="003A03EA">
          <w:rPr>
            <w:noProof/>
            <w:webHidden/>
          </w:rPr>
          <w:fldChar w:fldCharType="separate"/>
        </w:r>
        <w:r>
          <w:rPr>
            <w:noProof/>
            <w:webHidden/>
          </w:rPr>
          <w:t>7</w:t>
        </w:r>
        <w:r w:rsidR="003A03EA">
          <w:rPr>
            <w:noProof/>
            <w:webHidden/>
          </w:rPr>
          <w:fldChar w:fldCharType="end"/>
        </w:r>
      </w:hyperlink>
    </w:p>
    <w:p w14:paraId="0AB3F89A" w14:textId="1D6A2F1E" w:rsidR="003A03EA" w:rsidRDefault="001F7190">
      <w:pPr>
        <w:pStyle w:val="TOC2"/>
        <w:tabs>
          <w:tab w:val="left" w:pos="880"/>
          <w:tab w:val="right" w:leader="dot" w:pos="9060"/>
        </w:tabs>
        <w:rPr>
          <w:rFonts w:eastAsiaTheme="minorEastAsia" w:cstheme="minorBidi"/>
          <w:smallCaps w:val="0"/>
          <w:noProof/>
          <w:sz w:val="22"/>
          <w:szCs w:val="22"/>
          <w:lang w:val="en-NZ" w:eastAsia="en-NZ" w:bidi="ar-SA"/>
        </w:rPr>
      </w:pPr>
      <w:hyperlink w:anchor="_Toc132711437" w:history="1">
        <w:r w:rsidR="003A03EA" w:rsidRPr="00995852">
          <w:rPr>
            <w:rStyle w:val="Hyperlink"/>
            <w:noProof/>
          </w:rPr>
          <w:t>2.5</w:t>
        </w:r>
        <w:r w:rsidR="003A03EA">
          <w:rPr>
            <w:rFonts w:eastAsiaTheme="minorEastAsia" w:cstheme="minorBidi"/>
            <w:smallCaps w:val="0"/>
            <w:noProof/>
            <w:sz w:val="22"/>
            <w:szCs w:val="22"/>
            <w:lang w:val="en-NZ" w:eastAsia="en-NZ" w:bidi="ar-SA"/>
          </w:rPr>
          <w:tab/>
        </w:r>
        <w:r w:rsidR="003A03EA" w:rsidRPr="00995852">
          <w:rPr>
            <w:rStyle w:val="Hyperlink"/>
            <w:noProof/>
          </w:rPr>
          <w:t>FSANZ Act assessment requirements</w:t>
        </w:r>
        <w:r w:rsidR="003A03EA">
          <w:rPr>
            <w:noProof/>
            <w:webHidden/>
          </w:rPr>
          <w:tab/>
        </w:r>
        <w:r w:rsidR="003A03EA">
          <w:rPr>
            <w:noProof/>
            <w:webHidden/>
          </w:rPr>
          <w:fldChar w:fldCharType="begin"/>
        </w:r>
        <w:r w:rsidR="003A03EA">
          <w:rPr>
            <w:noProof/>
            <w:webHidden/>
          </w:rPr>
          <w:instrText xml:space="preserve"> PAGEREF _Toc132711437 \h </w:instrText>
        </w:r>
        <w:r w:rsidR="003A03EA">
          <w:rPr>
            <w:noProof/>
            <w:webHidden/>
          </w:rPr>
        </w:r>
        <w:r w:rsidR="003A03EA">
          <w:rPr>
            <w:noProof/>
            <w:webHidden/>
          </w:rPr>
          <w:fldChar w:fldCharType="separate"/>
        </w:r>
        <w:r>
          <w:rPr>
            <w:noProof/>
            <w:webHidden/>
          </w:rPr>
          <w:t>7</w:t>
        </w:r>
        <w:r w:rsidR="003A03EA">
          <w:rPr>
            <w:noProof/>
            <w:webHidden/>
          </w:rPr>
          <w:fldChar w:fldCharType="end"/>
        </w:r>
      </w:hyperlink>
    </w:p>
    <w:p w14:paraId="3554E5DE" w14:textId="0EA40559" w:rsidR="003A03EA" w:rsidRDefault="001F7190">
      <w:pPr>
        <w:pStyle w:val="TOC3"/>
        <w:tabs>
          <w:tab w:val="left" w:pos="1100"/>
          <w:tab w:val="right" w:leader="dot" w:pos="9060"/>
        </w:tabs>
        <w:rPr>
          <w:rFonts w:eastAsiaTheme="minorEastAsia" w:cstheme="minorBidi"/>
          <w:i w:val="0"/>
          <w:iCs w:val="0"/>
          <w:noProof/>
          <w:sz w:val="22"/>
          <w:szCs w:val="22"/>
          <w:lang w:val="en-NZ" w:eastAsia="en-NZ" w:bidi="ar-SA"/>
        </w:rPr>
      </w:pPr>
      <w:hyperlink w:anchor="_Toc132711438" w:history="1">
        <w:r w:rsidR="003A03EA" w:rsidRPr="00995852">
          <w:rPr>
            <w:rStyle w:val="Hyperlink"/>
            <w:noProof/>
          </w:rPr>
          <w:t>2.5.1</w:t>
        </w:r>
        <w:r w:rsidR="003A03EA">
          <w:rPr>
            <w:rFonts w:eastAsiaTheme="minorEastAsia" w:cstheme="minorBidi"/>
            <w:i w:val="0"/>
            <w:iCs w:val="0"/>
            <w:noProof/>
            <w:sz w:val="22"/>
            <w:szCs w:val="22"/>
            <w:lang w:val="en-NZ" w:eastAsia="en-NZ" w:bidi="ar-SA"/>
          </w:rPr>
          <w:tab/>
        </w:r>
        <w:r w:rsidR="003A03EA" w:rsidRPr="00995852">
          <w:rPr>
            <w:rStyle w:val="Hyperlink"/>
            <w:noProof/>
          </w:rPr>
          <w:t>Section 29</w:t>
        </w:r>
        <w:r w:rsidR="003A03EA">
          <w:rPr>
            <w:noProof/>
            <w:webHidden/>
          </w:rPr>
          <w:tab/>
        </w:r>
        <w:r w:rsidR="003A03EA">
          <w:rPr>
            <w:noProof/>
            <w:webHidden/>
          </w:rPr>
          <w:fldChar w:fldCharType="begin"/>
        </w:r>
        <w:r w:rsidR="003A03EA">
          <w:rPr>
            <w:noProof/>
            <w:webHidden/>
          </w:rPr>
          <w:instrText xml:space="preserve"> PAGEREF _Toc132711438 \h </w:instrText>
        </w:r>
        <w:r w:rsidR="003A03EA">
          <w:rPr>
            <w:noProof/>
            <w:webHidden/>
          </w:rPr>
        </w:r>
        <w:r w:rsidR="003A03EA">
          <w:rPr>
            <w:noProof/>
            <w:webHidden/>
          </w:rPr>
          <w:fldChar w:fldCharType="separate"/>
        </w:r>
        <w:r>
          <w:rPr>
            <w:noProof/>
            <w:webHidden/>
          </w:rPr>
          <w:t>7</w:t>
        </w:r>
        <w:r w:rsidR="003A03EA">
          <w:rPr>
            <w:noProof/>
            <w:webHidden/>
          </w:rPr>
          <w:fldChar w:fldCharType="end"/>
        </w:r>
      </w:hyperlink>
    </w:p>
    <w:p w14:paraId="150338CA" w14:textId="23D198F7" w:rsidR="003A03EA" w:rsidRDefault="001F7190">
      <w:pPr>
        <w:pStyle w:val="TOC3"/>
        <w:tabs>
          <w:tab w:val="left" w:pos="1320"/>
          <w:tab w:val="right" w:leader="dot" w:pos="9060"/>
        </w:tabs>
        <w:rPr>
          <w:rFonts w:eastAsiaTheme="minorEastAsia" w:cstheme="minorBidi"/>
          <w:i w:val="0"/>
          <w:iCs w:val="0"/>
          <w:noProof/>
          <w:sz w:val="22"/>
          <w:szCs w:val="22"/>
          <w:lang w:val="en-NZ" w:eastAsia="en-NZ" w:bidi="ar-SA"/>
        </w:rPr>
      </w:pPr>
      <w:hyperlink w:anchor="_Toc132711439" w:history="1">
        <w:r w:rsidR="003A03EA" w:rsidRPr="00995852">
          <w:rPr>
            <w:rStyle w:val="Hyperlink"/>
            <w:noProof/>
          </w:rPr>
          <w:t>2.5.2.</w:t>
        </w:r>
        <w:r w:rsidR="003A03EA">
          <w:rPr>
            <w:rFonts w:eastAsiaTheme="minorEastAsia" w:cstheme="minorBidi"/>
            <w:i w:val="0"/>
            <w:iCs w:val="0"/>
            <w:noProof/>
            <w:sz w:val="22"/>
            <w:szCs w:val="22"/>
            <w:lang w:val="en-NZ" w:eastAsia="en-NZ" w:bidi="ar-SA"/>
          </w:rPr>
          <w:tab/>
        </w:r>
        <w:r w:rsidR="003A03EA" w:rsidRPr="00995852">
          <w:rPr>
            <w:rStyle w:val="Hyperlink"/>
            <w:noProof/>
          </w:rPr>
          <w:t>Subsection 18(1)</w:t>
        </w:r>
        <w:r w:rsidR="003A03EA">
          <w:rPr>
            <w:noProof/>
            <w:webHidden/>
          </w:rPr>
          <w:tab/>
        </w:r>
        <w:r w:rsidR="003A03EA">
          <w:rPr>
            <w:noProof/>
            <w:webHidden/>
          </w:rPr>
          <w:fldChar w:fldCharType="begin"/>
        </w:r>
        <w:r w:rsidR="003A03EA">
          <w:rPr>
            <w:noProof/>
            <w:webHidden/>
          </w:rPr>
          <w:instrText xml:space="preserve"> PAGEREF _Toc132711439 \h </w:instrText>
        </w:r>
        <w:r w:rsidR="003A03EA">
          <w:rPr>
            <w:noProof/>
            <w:webHidden/>
          </w:rPr>
        </w:r>
        <w:r w:rsidR="003A03EA">
          <w:rPr>
            <w:noProof/>
            <w:webHidden/>
          </w:rPr>
          <w:fldChar w:fldCharType="separate"/>
        </w:r>
        <w:r>
          <w:rPr>
            <w:noProof/>
            <w:webHidden/>
          </w:rPr>
          <w:t>9</w:t>
        </w:r>
        <w:r w:rsidR="003A03EA">
          <w:rPr>
            <w:noProof/>
            <w:webHidden/>
          </w:rPr>
          <w:fldChar w:fldCharType="end"/>
        </w:r>
      </w:hyperlink>
    </w:p>
    <w:p w14:paraId="37A64745" w14:textId="268BC296" w:rsidR="003A03EA" w:rsidRDefault="001F7190">
      <w:pPr>
        <w:pStyle w:val="TOC2"/>
        <w:tabs>
          <w:tab w:val="right" w:leader="dot" w:pos="9060"/>
        </w:tabs>
        <w:rPr>
          <w:rFonts w:eastAsiaTheme="minorEastAsia" w:cstheme="minorBidi"/>
          <w:smallCaps w:val="0"/>
          <w:noProof/>
          <w:sz w:val="22"/>
          <w:szCs w:val="22"/>
          <w:lang w:val="en-NZ" w:eastAsia="en-NZ" w:bidi="ar-SA"/>
        </w:rPr>
      </w:pPr>
      <w:hyperlink w:anchor="_Toc132711440" w:history="1">
        <w:r w:rsidR="003A03EA" w:rsidRPr="00995852">
          <w:rPr>
            <w:rStyle w:val="Hyperlink"/>
            <w:noProof/>
          </w:rPr>
          <w:t xml:space="preserve">Attachment A – Approved draft variation to the </w:t>
        </w:r>
        <w:r w:rsidR="003A03EA" w:rsidRPr="00995852">
          <w:rPr>
            <w:rStyle w:val="Hyperlink"/>
            <w:i/>
            <w:noProof/>
          </w:rPr>
          <w:t>Australia New Zealand Food Standards Code</w:t>
        </w:r>
        <w:r w:rsidR="003A03EA">
          <w:rPr>
            <w:noProof/>
            <w:webHidden/>
          </w:rPr>
          <w:tab/>
        </w:r>
        <w:r w:rsidR="003A03EA">
          <w:rPr>
            <w:noProof/>
            <w:webHidden/>
          </w:rPr>
          <w:fldChar w:fldCharType="begin"/>
        </w:r>
        <w:r w:rsidR="003A03EA">
          <w:rPr>
            <w:noProof/>
            <w:webHidden/>
          </w:rPr>
          <w:instrText xml:space="preserve"> PAGEREF _Toc132711440 \h </w:instrText>
        </w:r>
        <w:r w:rsidR="003A03EA">
          <w:rPr>
            <w:noProof/>
            <w:webHidden/>
          </w:rPr>
        </w:r>
        <w:r w:rsidR="003A03EA">
          <w:rPr>
            <w:noProof/>
            <w:webHidden/>
          </w:rPr>
          <w:fldChar w:fldCharType="separate"/>
        </w:r>
        <w:r>
          <w:rPr>
            <w:noProof/>
            <w:webHidden/>
          </w:rPr>
          <w:t>11</w:t>
        </w:r>
        <w:r w:rsidR="003A03EA">
          <w:rPr>
            <w:noProof/>
            <w:webHidden/>
          </w:rPr>
          <w:fldChar w:fldCharType="end"/>
        </w:r>
      </w:hyperlink>
    </w:p>
    <w:p w14:paraId="0108EA27" w14:textId="6193B022" w:rsidR="003A03EA" w:rsidRDefault="001F7190">
      <w:pPr>
        <w:pStyle w:val="TOC2"/>
        <w:tabs>
          <w:tab w:val="right" w:leader="dot" w:pos="9060"/>
        </w:tabs>
        <w:rPr>
          <w:rFonts w:eastAsiaTheme="minorEastAsia" w:cstheme="minorBidi"/>
          <w:smallCaps w:val="0"/>
          <w:noProof/>
          <w:sz w:val="22"/>
          <w:szCs w:val="22"/>
          <w:lang w:val="en-NZ" w:eastAsia="en-NZ" w:bidi="ar-SA"/>
        </w:rPr>
      </w:pPr>
      <w:hyperlink w:anchor="_Toc132711441" w:history="1">
        <w:r w:rsidR="003A03EA" w:rsidRPr="00995852">
          <w:rPr>
            <w:rStyle w:val="Hyperlink"/>
            <w:noProof/>
          </w:rPr>
          <w:t>Attachment B</w:t>
        </w:r>
        <w:r w:rsidR="003A03EA">
          <w:rPr>
            <w:noProof/>
            <w:webHidden/>
          </w:rPr>
          <w:tab/>
        </w:r>
        <w:r w:rsidR="003A03EA">
          <w:rPr>
            <w:noProof/>
            <w:webHidden/>
          </w:rPr>
          <w:fldChar w:fldCharType="begin"/>
        </w:r>
        <w:r w:rsidR="003A03EA">
          <w:rPr>
            <w:noProof/>
            <w:webHidden/>
          </w:rPr>
          <w:instrText xml:space="preserve"> PAGEREF _Toc132711441 \h </w:instrText>
        </w:r>
        <w:r w:rsidR="003A03EA">
          <w:rPr>
            <w:noProof/>
            <w:webHidden/>
          </w:rPr>
        </w:r>
        <w:r w:rsidR="003A03EA">
          <w:rPr>
            <w:noProof/>
            <w:webHidden/>
          </w:rPr>
          <w:fldChar w:fldCharType="separate"/>
        </w:r>
        <w:r>
          <w:rPr>
            <w:noProof/>
            <w:webHidden/>
          </w:rPr>
          <w:t>13</w:t>
        </w:r>
        <w:r w:rsidR="003A03EA">
          <w:rPr>
            <w:noProof/>
            <w:webHidden/>
          </w:rPr>
          <w:fldChar w:fldCharType="end"/>
        </w:r>
      </w:hyperlink>
    </w:p>
    <w:p w14:paraId="00BA8E49" w14:textId="4E0B839A" w:rsidR="00857B90" w:rsidRDefault="00857B90" w:rsidP="00857B90">
      <w:r w:rsidRPr="00346622">
        <w:rPr>
          <w:rFonts w:cs="Arial"/>
          <w:sz w:val="20"/>
          <w:szCs w:val="20"/>
        </w:rPr>
        <w:fldChar w:fldCharType="end"/>
      </w:r>
    </w:p>
    <w:p w14:paraId="0FF12744" w14:textId="77777777" w:rsidR="00857B90" w:rsidRDefault="00857B90" w:rsidP="00857B90"/>
    <w:p w14:paraId="317C1DA4" w14:textId="77777777" w:rsidR="00857B90" w:rsidRPr="000B427A" w:rsidRDefault="00857B90" w:rsidP="00857B90">
      <w:pPr>
        <w:rPr>
          <w:b/>
          <w:bCs/>
        </w:rPr>
      </w:pPr>
      <w:r w:rsidRPr="000B427A">
        <w:rPr>
          <w:b/>
          <w:bCs/>
        </w:rPr>
        <w:t>Supporting document</w:t>
      </w:r>
    </w:p>
    <w:p w14:paraId="0189FBEE" w14:textId="77777777" w:rsidR="00857B90" w:rsidRPr="0089264A" w:rsidRDefault="00857B90" w:rsidP="00857B90">
      <w:pPr>
        <w:rPr>
          <w:szCs w:val="22"/>
        </w:rPr>
      </w:pPr>
    </w:p>
    <w:p w14:paraId="25927F0A" w14:textId="3BDE9B47" w:rsidR="00857B90" w:rsidRPr="0089264A" w:rsidRDefault="00857B90" w:rsidP="00857B90">
      <w:pPr>
        <w:rPr>
          <w:color w:val="FF0000"/>
          <w:szCs w:val="22"/>
        </w:rPr>
      </w:pPr>
      <w:r w:rsidRPr="0089264A">
        <w:rPr>
          <w:szCs w:val="22"/>
        </w:rPr>
        <w:t xml:space="preserve">The </w:t>
      </w:r>
      <w:hyperlink r:id="rId20" w:history="1">
        <w:r w:rsidRPr="005F1970">
          <w:rPr>
            <w:rStyle w:val="Hyperlink"/>
            <w:szCs w:val="22"/>
          </w:rPr>
          <w:t>following document</w:t>
        </w:r>
      </w:hyperlink>
      <w:r w:rsidRPr="0089264A">
        <w:rPr>
          <w:szCs w:val="22"/>
        </w:rPr>
        <w:t xml:space="preserve"> </w:t>
      </w:r>
      <w:r>
        <w:rPr>
          <w:szCs w:val="22"/>
        </w:rPr>
        <w:t xml:space="preserve">which informed the assessment </w:t>
      </w:r>
      <w:r w:rsidRPr="00AC27BA">
        <w:rPr>
          <w:szCs w:val="22"/>
        </w:rPr>
        <w:t xml:space="preserve">of this application </w:t>
      </w:r>
      <w:r>
        <w:rPr>
          <w:szCs w:val="22"/>
        </w:rPr>
        <w:t>is</w:t>
      </w:r>
      <w:r w:rsidRPr="00AC27BA">
        <w:rPr>
          <w:szCs w:val="22"/>
        </w:rPr>
        <w:t xml:space="preserve"> available </w:t>
      </w:r>
      <w:r w:rsidRPr="0089264A">
        <w:rPr>
          <w:szCs w:val="22"/>
        </w:rPr>
        <w:t>on the FSANZ website</w:t>
      </w:r>
      <w:r>
        <w:rPr>
          <w:szCs w:val="22"/>
        </w:rPr>
        <w:t>:</w:t>
      </w:r>
    </w:p>
    <w:p w14:paraId="00206CDB" w14:textId="77777777" w:rsidR="00857B90" w:rsidRPr="0089264A" w:rsidRDefault="00857B90" w:rsidP="00857B90">
      <w:pPr>
        <w:rPr>
          <w:szCs w:val="22"/>
        </w:rPr>
      </w:pPr>
    </w:p>
    <w:p w14:paraId="76FCB617" w14:textId="77777777" w:rsidR="00857B90" w:rsidRPr="003A03EA" w:rsidRDefault="00857B90" w:rsidP="003A03EA">
      <w:r w:rsidRPr="006A5307">
        <w:t>SD1</w:t>
      </w:r>
      <w:r w:rsidRPr="006A5307">
        <w:tab/>
        <w:t>Risk and technical assessment</w:t>
      </w:r>
      <w:r w:rsidRPr="00CA5734">
        <w:br w:type="page"/>
      </w:r>
    </w:p>
    <w:p w14:paraId="57E29AD3" w14:textId="77777777" w:rsidR="00857B90" w:rsidRPr="007A53BF" w:rsidRDefault="00857B90" w:rsidP="00857B90">
      <w:pPr>
        <w:pStyle w:val="Heading1"/>
      </w:pPr>
      <w:bookmarkStart w:id="1" w:name="_Toc286391001"/>
      <w:bookmarkStart w:id="2" w:name="_Toc300933414"/>
      <w:bookmarkStart w:id="3" w:name="_Toc370223463"/>
      <w:bookmarkStart w:id="4" w:name="_Toc132711419"/>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14:paraId="54A5E579" w14:textId="26F13B03" w:rsidR="00857B90" w:rsidRDefault="00857B90" w:rsidP="00857B90">
      <w:pPr>
        <w:rPr>
          <w:lang w:val="en-AU"/>
        </w:rPr>
      </w:pPr>
      <w:r w:rsidRPr="73FC1001">
        <w:rPr>
          <w:lang w:val="en-AU"/>
        </w:rPr>
        <w:t xml:space="preserve">Novozymes Australia Pty Limited applied to Food Standards Australia New Zealand (FSANZ) to amend the Australia New Zealand Food Standards Code (the Code) to permit the use of endo-1,4-beta-xylanase (EC 3.2.1.8) from a genetically modified (GM) strain of </w:t>
      </w:r>
      <w:r w:rsidRPr="73FC1001">
        <w:rPr>
          <w:i/>
          <w:iCs/>
        </w:rPr>
        <w:t xml:space="preserve">Trichoderma </w:t>
      </w:r>
      <w:proofErr w:type="spellStart"/>
      <w:r w:rsidRPr="73FC1001">
        <w:rPr>
          <w:i/>
          <w:iCs/>
        </w:rPr>
        <w:t>reesei</w:t>
      </w:r>
      <w:proofErr w:type="spellEnd"/>
      <w:r w:rsidRPr="73FC1001">
        <w:rPr>
          <w:i/>
          <w:iCs/>
        </w:rPr>
        <w:t xml:space="preserve"> </w:t>
      </w:r>
      <w:r w:rsidR="002528A9">
        <w:rPr>
          <w:i/>
          <w:iCs/>
        </w:rPr>
        <w:t>(</w:t>
      </w:r>
      <w:r w:rsidR="002528A9" w:rsidRPr="73FC1001">
        <w:rPr>
          <w:i/>
          <w:iCs/>
        </w:rPr>
        <w:t xml:space="preserve">T. </w:t>
      </w:r>
      <w:proofErr w:type="spellStart"/>
      <w:r w:rsidR="002528A9" w:rsidRPr="73FC1001">
        <w:rPr>
          <w:i/>
          <w:iCs/>
        </w:rPr>
        <w:t>reesei</w:t>
      </w:r>
      <w:proofErr w:type="spellEnd"/>
      <w:r w:rsidR="002528A9" w:rsidRPr="73FC1001">
        <w:rPr>
          <w:i/>
          <w:iCs/>
        </w:rPr>
        <w:t xml:space="preserve"> </w:t>
      </w:r>
      <w:r w:rsidR="002528A9">
        <w:rPr>
          <w:i/>
          <w:iCs/>
        </w:rPr>
        <w:t xml:space="preserve">) </w:t>
      </w:r>
      <w:r w:rsidRPr="73FC1001">
        <w:rPr>
          <w:lang w:val="en-AU"/>
        </w:rPr>
        <w:t xml:space="preserve">as a processing aid for use in </w:t>
      </w:r>
      <w:r>
        <w:t>brewing, fats and oils processing, grain processing and potable alcohol production</w:t>
      </w:r>
      <w:r w:rsidRPr="73FC1001">
        <w:rPr>
          <w:lang w:val="en-AU"/>
        </w:rPr>
        <w:t>.</w:t>
      </w:r>
    </w:p>
    <w:p w14:paraId="7B6139FB" w14:textId="1FB7FF29" w:rsidR="00857B90" w:rsidRDefault="00857B90" w:rsidP="00857B90">
      <w:pPr>
        <w:spacing w:before="240"/>
        <w:rPr>
          <w:i/>
          <w:iCs/>
        </w:rPr>
      </w:pPr>
      <w:r w:rsidRPr="73FC1001">
        <w:rPr>
          <w:lang w:val="en-AU"/>
        </w:rPr>
        <w:t xml:space="preserve">The enzyme is sourced from a genetically modified (GM) strain of </w:t>
      </w:r>
      <w:r w:rsidRPr="73FC1001">
        <w:rPr>
          <w:i/>
          <w:iCs/>
        </w:rPr>
        <w:t xml:space="preserve">T. </w:t>
      </w:r>
      <w:proofErr w:type="spellStart"/>
      <w:r w:rsidRPr="73FC1001">
        <w:rPr>
          <w:i/>
          <w:iCs/>
        </w:rPr>
        <w:t>reesei</w:t>
      </w:r>
      <w:proofErr w:type="spellEnd"/>
      <w:r w:rsidRPr="73FC1001">
        <w:rPr>
          <w:i/>
          <w:iCs/>
        </w:rPr>
        <w:t xml:space="preserve"> </w:t>
      </w:r>
      <w:r>
        <w:t xml:space="preserve">containing the endo-1,4-beta-xylanase gene from </w:t>
      </w:r>
      <w:proofErr w:type="spellStart"/>
      <w:r w:rsidRPr="73FC1001">
        <w:rPr>
          <w:i/>
          <w:iCs/>
        </w:rPr>
        <w:t>Talaromyces</w:t>
      </w:r>
      <w:proofErr w:type="spellEnd"/>
      <w:r w:rsidRPr="73FC1001">
        <w:rPr>
          <w:i/>
          <w:iCs/>
        </w:rPr>
        <w:t xml:space="preserve"> </w:t>
      </w:r>
      <w:proofErr w:type="spellStart"/>
      <w:r w:rsidRPr="73FC1001">
        <w:rPr>
          <w:i/>
          <w:iCs/>
        </w:rPr>
        <w:t>leycettanus</w:t>
      </w:r>
      <w:proofErr w:type="spellEnd"/>
      <w:r w:rsidR="002528A9">
        <w:rPr>
          <w:i/>
          <w:iCs/>
        </w:rPr>
        <w:t xml:space="preserve"> (</w:t>
      </w:r>
      <w:r w:rsidR="002528A9" w:rsidRPr="7805CA24">
        <w:rPr>
          <w:i/>
          <w:iCs/>
        </w:rPr>
        <w:t xml:space="preserve">T. </w:t>
      </w:r>
      <w:proofErr w:type="spellStart"/>
      <w:r w:rsidR="002528A9" w:rsidRPr="7805CA24">
        <w:rPr>
          <w:i/>
          <w:iCs/>
        </w:rPr>
        <w:t>leycettanus</w:t>
      </w:r>
      <w:proofErr w:type="spellEnd"/>
      <w:r w:rsidR="002528A9">
        <w:rPr>
          <w:i/>
          <w:iCs/>
        </w:rPr>
        <w:t>)</w:t>
      </w:r>
      <w:r w:rsidRPr="73FC1001">
        <w:rPr>
          <w:i/>
          <w:iCs/>
        </w:rPr>
        <w:t>.</w:t>
      </w:r>
    </w:p>
    <w:p w14:paraId="2BD021F4" w14:textId="77777777" w:rsidR="00857B90" w:rsidRDefault="00857B90" w:rsidP="00857B90">
      <w:pPr>
        <w:spacing w:before="240"/>
      </w:pPr>
      <w:r>
        <w:t>FSANZ concludes that the proposed use of the enzyme in brewing, fats and oils processing grain processing and potable alcohol production is technologically justified for use at levels consistent with Good Manufacturing Process (GMP). Analysis of the evidence provides adequate assurance that the use of this enzyme, in the quantity and form proposed, is justified.</w:t>
      </w:r>
    </w:p>
    <w:p w14:paraId="6AB35F03" w14:textId="42858694" w:rsidR="00857B90" w:rsidRDefault="00C92132" w:rsidP="00857B90">
      <w:pPr>
        <w:spacing w:before="240"/>
      </w:pPr>
      <w:r>
        <w:t xml:space="preserve">FSANZ completed a risk assessment and concluded there are no </w:t>
      </w:r>
      <w:r w:rsidR="00857B90">
        <w:t xml:space="preserve">public health and safety concerns </w:t>
      </w:r>
      <w:r>
        <w:t>associated with the proposed use of this enzyme</w:t>
      </w:r>
      <w:r w:rsidR="00857B90">
        <w:t>. In the absence of any identifiable hazard, an acceptable daily intake (ADI) ‘not specified’ is appropriate.</w:t>
      </w:r>
    </w:p>
    <w:p w14:paraId="793F778F" w14:textId="577308D2" w:rsidR="00857B90" w:rsidRPr="009A6911" w:rsidRDefault="00857B90" w:rsidP="009A6911">
      <w:pPr>
        <w:spacing w:before="240"/>
      </w:pPr>
      <w:r w:rsidRPr="009A6911">
        <w:t xml:space="preserve">Following assessment and the preparation of a draft variation to the Code, FSANZ called for submissions regarding the draft variation from </w:t>
      </w:r>
      <w:r>
        <w:t>8 February 2023</w:t>
      </w:r>
      <w:r w:rsidRPr="00895144">
        <w:t xml:space="preserve"> to 2</w:t>
      </w:r>
      <w:r>
        <w:t>2</w:t>
      </w:r>
      <w:r w:rsidRPr="00895144">
        <w:t xml:space="preserve"> </w:t>
      </w:r>
      <w:r>
        <w:t>March 2023</w:t>
      </w:r>
      <w:r w:rsidRPr="009A6911">
        <w:t xml:space="preserve">. FSANZ received two submissions, </w:t>
      </w:r>
      <w:r w:rsidR="00853078" w:rsidRPr="009A6911">
        <w:t>both</w:t>
      </w:r>
      <w:r w:rsidRPr="009A6911">
        <w:t xml:space="preserve"> supportive of the draft variation.</w:t>
      </w:r>
    </w:p>
    <w:p w14:paraId="097EBFFF" w14:textId="77777777" w:rsidR="006061B2" w:rsidRDefault="00857B90" w:rsidP="009A6911">
      <w:pPr>
        <w:spacing w:before="240"/>
      </w:pPr>
      <w:r w:rsidRPr="002B61C9">
        <w:rPr>
          <w:lang w:bidi="ar-SA"/>
        </w:rPr>
        <w:t xml:space="preserve">Based on the information above and </w:t>
      </w:r>
      <w:r w:rsidR="009F4012">
        <w:rPr>
          <w:lang w:bidi="ar-SA"/>
        </w:rPr>
        <w:t>for the reasons</w:t>
      </w:r>
      <w:r w:rsidRPr="002B61C9">
        <w:rPr>
          <w:lang w:bidi="ar-SA"/>
        </w:rPr>
        <w:t xml:space="preserve"> set out in this report, </w:t>
      </w:r>
      <w:r w:rsidRPr="00994F94">
        <w:rPr>
          <w:lang w:bidi="ar-SA"/>
        </w:rPr>
        <w:t xml:space="preserve">FSANZ has </w:t>
      </w:r>
      <w:r>
        <w:rPr>
          <w:lang w:bidi="ar-SA"/>
        </w:rPr>
        <w:t>approved</w:t>
      </w:r>
      <w:r w:rsidRPr="00994F94">
        <w:rPr>
          <w:lang w:bidi="ar-SA"/>
        </w:rPr>
        <w:t xml:space="preserve"> a draft variation to</w:t>
      </w:r>
      <w:r w:rsidRPr="003C2132">
        <w:rPr>
          <w:lang w:bidi="ar-SA"/>
        </w:rPr>
        <w:t xml:space="preserve"> the table to subsection S18—9(3) </w:t>
      </w:r>
      <w:r>
        <w:rPr>
          <w:lang w:bidi="ar-SA"/>
        </w:rPr>
        <w:t xml:space="preserve">of </w:t>
      </w:r>
      <w:r w:rsidRPr="00994F94">
        <w:rPr>
          <w:lang w:bidi="ar-SA"/>
        </w:rPr>
        <w:t>the Code</w:t>
      </w:r>
      <w:r>
        <w:rPr>
          <w:lang w:bidi="ar-SA"/>
        </w:rPr>
        <w:t xml:space="preserve"> to permit </w:t>
      </w:r>
      <w:r w:rsidRPr="00994F94">
        <w:rPr>
          <w:lang w:bidi="ar-SA"/>
        </w:rPr>
        <w:t xml:space="preserve">the </w:t>
      </w:r>
      <w:r>
        <w:rPr>
          <w:lang w:bidi="ar-SA"/>
        </w:rPr>
        <w:t xml:space="preserve">use of the </w:t>
      </w:r>
      <w:r w:rsidRPr="03F7F7D6">
        <w:rPr>
          <w:lang w:bidi="ar-SA"/>
        </w:rPr>
        <w:t xml:space="preserve">enzyme </w:t>
      </w:r>
      <w:r>
        <w:rPr>
          <w:lang w:bidi="ar-SA"/>
        </w:rPr>
        <w:t xml:space="preserve">endo-1,4-beta-xylanase </w:t>
      </w:r>
      <w:r w:rsidRPr="03F7F7D6">
        <w:rPr>
          <w:lang w:bidi="ar-SA"/>
        </w:rPr>
        <w:t>(EC 3.2.1.</w:t>
      </w:r>
      <w:r>
        <w:rPr>
          <w:lang w:bidi="ar-SA"/>
        </w:rPr>
        <w:t>8)</w:t>
      </w:r>
      <w:r w:rsidRPr="03F7F7D6">
        <w:rPr>
          <w:lang w:bidi="ar-SA"/>
        </w:rPr>
        <w:t xml:space="preserve"> sourced from </w:t>
      </w:r>
      <w:r w:rsidRPr="7805CA24">
        <w:rPr>
          <w:i/>
          <w:lang w:bidi="ar-SA"/>
        </w:rPr>
        <w:t xml:space="preserve">T. </w:t>
      </w:r>
      <w:proofErr w:type="spellStart"/>
      <w:r w:rsidRPr="7805CA24">
        <w:rPr>
          <w:i/>
          <w:lang w:bidi="ar-SA"/>
        </w:rPr>
        <w:t>reesei</w:t>
      </w:r>
      <w:proofErr w:type="spellEnd"/>
      <w:r w:rsidRPr="009E35C8">
        <w:t xml:space="preserve"> </w:t>
      </w:r>
      <w:r w:rsidRPr="03F7F7D6">
        <w:rPr>
          <w:lang w:bidi="ar-SA"/>
        </w:rPr>
        <w:t xml:space="preserve">containing the </w:t>
      </w:r>
      <w:r>
        <w:rPr>
          <w:lang w:bidi="ar-SA"/>
        </w:rPr>
        <w:t>endo</w:t>
      </w:r>
      <w:r>
        <w:rPr>
          <w:lang w:bidi="ar-SA"/>
        </w:rPr>
        <w:noBreakHyphen/>
        <w:t xml:space="preserve">1,4-beta-xylanase </w:t>
      </w:r>
      <w:r w:rsidRPr="03F7F7D6">
        <w:rPr>
          <w:lang w:bidi="ar-SA"/>
        </w:rPr>
        <w:t>gene from</w:t>
      </w:r>
      <w:r w:rsidRPr="009E35C8">
        <w:t xml:space="preserve"> </w:t>
      </w:r>
      <w:r w:rsidRPr="009E35C8">
        <w:rPr>
          <w:i/>
          <w:iCs/>
        </w:rPr>
        <w:t xml:space="preserve">T. </w:t>
      </w:r>
      <w:proofErr w:type="spellStart"/>
      <w:r w:rsidRPr="009E35C8">
        <w:rPr>
          <w:i/>
          <w:iCs/>
        </w:rPr>
        <w:t>leycettanus</w:t>
      </w:r>
      <w:proofErr w:type="spellEnd"/>
      <w:r>
        <w:t xml:space="preserve"> as a processing aid</w:t>
      </w:r>
      <w:r w:rsidRPr="009A6911">
        <w:t xml:space="preserve">. The enzyme will be permitted for use in </w:t>
      </w:r>
      <w:r w:rsidRPr="00DE3834">
        <w:t>brewing, fats and oils processing</w:t>
      </w:r>
      <w:r>
        <w:t>, grain processing</w:t>
      </w:r>
      <w:r w:rsidRPr="00DE3834">
        <w:t xml:space="preserve"> and potable alcohol production</w:t>
      </w:r>
      <w:r w:rsidRPr="009A6911">
        <w:t xml:space="preserve">. </w:t>
      </w:r>
    </w:p>
    <w:p w14:paraId="0F7F5969" w14:textId="1598298D" w:rsidR="00857B90" w:rsidRDefault="00857B90" w:rsidP="009A6911">
      <w:pPr>
        <w:spacing w:before="240"/>
        <w:rPr>
          <w:lang w:bidi="ar-SA"/>
        </w:rPr>
      </w:pPr>
      <w:r w:rsidRPr="009A6911">
        <w:t xml:space="preserve">This permission is subject to the condition that the maximum permitted level of the enzyme that may be </w:t>
      </w:r>
      <w:r w:rsidRPr="006E6A92">
        <w:rPr>
          <w:lang w:eastAsia="en-GB" w:bidi="ar-SA"/>
        </w:rPr>
        <w:t>present in the food</w:t>
      </w:r>
      <w:r w:rsidRPr="009A6911">
        <w:t xml:space="preserve"> is an amount consistent with GMP. The effect of the approved draft variation will be to permit the proposed use of this enzyme as a processing aid in accordance with the Code.</w:t>
      </w:r>
    </w:p>
    <w:p w14:paraId="2395D242" w14:textId="77777777" w:rsidR="00857B90" w:rsidRDefault="00857B90" w:rsidP="00857B90">
      <w:pPr>
        <w:pStyle w:val="Heading1"/>
      </w:pPr>
      <w:r>
        <w:br w:type="page"/>
      </w:r>
    </w:p>
    <w:p w14:paraId="45B001E5" w14:textId="77777777" w:rsidR="00857B90" w:rsidRPr="007A53BF" w:rsidRDefault="00857B90" w:rsidP="00857B90">
      <w:pPr>
        <w:pStyle w:val="Heading1"/>
      </w:pPr>
      <w:bookmarkStart w:id="10" w:name="_Toc300933417"/>
      <w:bookmarkStart w:id="11" w:name="_Toc370223464"/>
      <w:bookmarkStart w:id="12" w:name="_Toc132711420"/>
      <w:r w:rsidRPr="007A53BF">
        <w:lastRenderedPageBreak/>
        <w:t>1</w:t>
      </w:r>
      <w:r w:rsidRPr="007A53BF">
        <w:tab/>
        <w:t>Introduction</w:t>
      </w:r>
      <w:bookmarkEnd w:id="10"/>
      <w:bookmarkEnd w:id="11"/>
      <w:bookmarkEnd w:id="12"/>
    </w:p>
    <w:p w14:paraId="0C4598D1" w14:textId="77777777" w:rsidR="00857B90" w:rsidRPr="005F1970" w:rsidRDefault="00857B90" w:rsidP="00857B90">
      <w:pPr>
        <w:pStyle w:val="Heading2"/>
      </w:pPr>
      <w:bookmarkStart w:id="13" w:name="_Toc300761890"/>
      <w:bookmarkStart w:id="14" w:name="_Toc300933419"/>
      <w:bookmarkStart w:id="15" w:name="_Toc370223465"/>
      <w:bookmarkStart w:id="16" w:name="_Toc132711421"/>
      <w:r w:rsidRPr="005F1970">
        <w:t>1.1</w:t>
      </w:r>
      <w:r w:rsidRPr="005F1970">
        <w:tab/>
        <w:t>The applicant</w:t>
      </w:r>
      <w:bookmarkEnd w:id="13"/>
      <w:bookmarkEnd w:id="14"/>
      <w:bookmarkEnd w:id="15"/>
      <w:bookmarkEnd w:id="16"/>
    </w:p>
    <w:p w14:paraId="65044F9B" w14:textId="18C9FAB7" w:rsidR="00857B90" w:rsidRPr="005F1970" w:rsidRDefault="00857B90" w:rsidP="00857B90">
      <w:r w:rsidRPr="005F1970">
        <w:t>Novozymes Australia Pty Ltd is a manufacturer of enzymes, microorganisms and precision proteins.</w:t>
      </w:r>
    </w:p>
    <w:p w14:paraId="716EEAA9" w14:textId="77777777" w:rsidR="00857B90" w:rsidRPr="005F1970" w:rsidRDefault="00857B90" w:rsidP="00857B90">
      <w:pPr>
        <w:pStyle w:val="Heading2"/>
      </w:pPr>
      <w:bookmarkStart w:id="17" w:name="_Toc300761891"/>
      <w:bookmarkStart w:id="18" w:name="_Toc300933420"/>
      <w:bookmarkStart w:id="19" w:name="_Toc370223466"/>
      <w:bookmarkStart w:id="20" w:name="_Toc132711422"/>
      <w:r w:rsidRPr="005F1970">
        <w:t>1.2</w:t>
      </w:r>
      <w:r w:rsidRPr="005F1970">
        <w:tab/>
        <w:t>The application</w:t>
      </w:r>
      <w:bookmarkEnd w:id="17"/>
      <w:bookmarkEnd w:id="18"/>
      <w:bookmarkEnd w:id="19"/>
      <w:bookmarkEnd w:id="20"/>
    </w:p>
    <w:p w14:paraId="13390C73" w14:textId="1E1D3C6E" w:rsidR="00857B90" w:rsidRPr="005D7517" w:rsidRDefault="00857B90" w:rsidP="00857B90">
      <w:pPr>
        <w:rPr>
          <w:i/>
          <w:iCs/>
        </w:rPr>
      </w:pPr>
      <w:r w:rsidRPr="00857B90">
        <w:t xml:space="preserve">The purpose of the application was to amend the Australia New Zealand Food Standards Code (the Code) to permit the use of </w:t>
      </w:r>
      <w:r w:rsidRPr="00857B90">
        <w:rPr>
          <w:lang w:bidi="ar-SA"/>
        </w:rPr>
        <w:t xml:space="preserve">endo-1,4-beta-xylanase (EC 3.2.1.8) </w:t>
      </w:r>
      <w:r w:rsidRPr="00857B90">
        <w:rPr>
          <w:lang w:val="en-AU"/>
        </w:rPr>
        <w:t>from a</w:t>
      </w:r>
      <w:r w:rsidRPr="73FC1001">
        <w:rPr>
          <w:lang w:val="en-AU"/>
        </w:rPr>
        <w:t xml:space="preserve"> genetically modified (GM) strain of </w:t>
      </w:r>
      <w:r w:rsidRPr="73FC1001">
        <w:rPr>
          <w:i/>
          <w:iCs/>
        </w:rPr>
        <w:t xml:space="preserve">Trichoderma </w:t>
      </w:r>
      <w:proofErr w:type="spellStart"/>
      <w:r w:rsidRPr="73FC1001">
        <w:rPr>
          <w:i/>
          <w:iCs/>
        </w:rPr>
        <w:t>reesei</w:t>
      </w:r>
      <w:proofErr w:type="spellEnd"/>
      <w:r w:rsidRPr="73FC1001">
        <w:rPr>
          <w:i/>
          <w:iCs/>
        </w:rPr>
        <w:t xml:space="preserve"> </w:t>
      </w:r>
      <w:r w:rsidR="00127084">
        <w:rPr>
          <w:i/>
          <w:iCs/>
        </w:rPr>
        <w:t>(</w:t>
      </w:r>
      <w:r w:rsidR="00127084" w:rsidRPr="73FC1001">
        <w:rPr>
          <w:i/>
          <w:iCs/>
        </w:rPr>
        <w:t xml:space="preserve">T. </w:t>
      </w:r>
      <w:proofErr w:type="spellStart"/>
      <w:r w:rsidR="00127084" w:rsidRPr="73FC1001">
        <w:rPr>
          <w:i/>
          <w:iCs/>
        </w:rPr>
        <w:t>reesei</w:t>
      </w:r>
      <w:proofErr w:type="spellEnd"/>
      <w:r w:rsidR="00127084" w:rsidRPr="73FC1001">
        <w:rPr>
          <w:i/>
          <w:iCs/>
        </w:rPr>
        <w:t xml:space="preserve"> </w:t>
      </w:r>
      <w:r w:rsidR="00127084">
        <w:rPr>
          <w:i/>
          <w:iCs/>
        </w:rPr>
        <w:t xml:space="preserve">) </w:t>
      </w:r>
      <w:r>
        <w:t>as a processing aid</w:t>
      </w:r>
      <w:r w:rsidRPr="73FC1001">
        <w:rPr>
          <w:i/>
          <w:iCs/>
        </w:rPr>
        <w:t xml:space="preserve">. </w:t>
      </w:r>
      <w:r w:rsidRPr="73FC1001">
        <w:rPr>
          <w:lang w:val="en-AU"/>
        </w:rPr>
        <w:t xml:space="preserve">The enzyme is sourced from a GM strain of </w:t>
      </w:r>
      <w:r w:rsidRPr="73FC1001">
        <w:rPr>
          <w:i/>
          <w:iCs/>
        </w:rPr>
        <w:t xml:space="preserve">T. </w:t>
      </w:r>
      <w:proofErr w:type="spellStart"/>
      <w:r w:rsidRPr="73FC1001">
        <w:rPr>
          <w:i/>
          <w:iCs/>
        </w:rPr>
        <w:t>reesei</w:t>
      </w:r>
      <w:proofErr w:type="spellEnd"/>
      <w:r w:rsidRPr="73FC1001">
        <w:rPr>
          <w:i/>
          <w:iCs/>
        </w:rPr>
        <w:t xml:space="preserve"> </w:t>
      </w:r>
      <w:r>
        <w:t xml:space="preserve">containing the </w:t>
      </w:r>
      <w:r w:rsidRPr="73FC1001">
        <w:rPr>
          <w:lang w:val="en-AU"/>
        </w:rPr>
        <w:t>endo-1,4-beta-xylanase</w:t>
      </w:r>
      <w:r>
        <w:t xml:space="preserve"> gene from </w:t>
      </w:r>
      <w:proofErr w:type="spellStart"/>
      <w:r w:rsidRPr="73FC1001">
        <w:rPr>
          <w:i/>
          <w:iCs/>
        </w:rPr>
        <w:t>Talaromyces</w:t>
      </w:r>
      <w:proofErr w:type="spellEnd"/>
      <w:r w:rsidRPr="73FC1001">
        <w:rPr>
          <w:i/>
          <w:iCs/>
        </w:rPr>
        <w:t xml:space="preserve"> </w:t>
      </w:r>
      <w:proofErr w:type="spellStart"/>
      <w:r w:rsidRPr="73FC1001">
        <w:rPr>
          <w:i/>
          <w:iCs/>
        </w:rPr>
        <w:t>leycettanus</w:t>
      </w:r>
      <w:proofErr w:type="spellEnd"/>
      <w:r w:rsidR="00F915C6">
        <w:rPr>
          <w:i/>
          <w:iCs/>
        </w:rPr>
        <w:t xml:space="preserve"> (T. </w:t>
      </w:r>
      <w:proofErr w:type="spellStart"/>
      <w:r w:rsidR="00F915C6">
        <w:rPr>
          <w:i/>
          <w:iCs/>
        </w:rPr>
        <w:t>leycettanus</w:t>
      </w:r>
      <w:proofErr w:type="spellEnd"/>
      <w:r w:rsidR="00F915C6">
        <w:rPr>
          <w:i/>
          <w:iCs/>
        </w:rPr>
        <w:t>)</w:t>
      </w:r>
      <w:r w:rsidRPr="73FC1001">
        <w:rPr>
          <w:i/>
          <w:iCs/>
        </w:rPr>
        <w:t>.</w:t>
      </w:r>
    </w:p>
    <w:p w14:paraId="0E9F40D7" w14:textId="7881F157" w:rsidR="00857B90" w:rsidRDefault="00857B90" w:rsidP="00857B90">
      <w:pPr>
        <w:spacing w:before="240"/>
        <w:rPr>
          <w:lang w:bidi="ar-SA"/>
        </w:rPr>
      </w:pPr>
      <w:r>
        <w:rPr>
          <w:lang w:bidi="ar-SA"/>
        </w:rPr>
        <w:t xml:space="preserve">The </w:t>
      </w:r>
      <w:r w:rsidR="00F915C6">
        <w:rPr>
          <w:lang w:bidi="ar-SA"/>
        </w:rPr>
        <w:t>intended</w:t>
      </w:r>
      <w:r>
        <w:rPr>
          <w:lang w:bidi="ar-SA"/>
        </w:rPr>
        <w:t xml:space="preserve"> purpose for use of the enzyme is </w:t>
      </w:r>
      <w:r w:rsidRPr="009F5768">
        <w:rPr>
          <w:lang w:bidi="ar-SA"/>
        </w:rPr>
        <w:t xml:space="preserve">in </w:t>
      </w:r>
      <w:r w:rsidRPr="00DE3834">
        <w:t>brewing, fats and oils</w:t>
      </w:r>
      <w:r>
        <w:t xml:space="preserve"> processing,</w:t>
      </w:r>
      <w:r w:rsidRPr="00DE3834">
        <w:t xml:space="preserve"> grain processing and potable alcohol production</w:t>
      </w:r>
      <w:r w:rsidRPr="009F5768">
        <w:rPr>
          <w:lang w:bidi="ar-SA"/>
        </w:rPr>
        <w:t>.</w:t>
      </w:r>
    </w:p>
    <w:p w14:paraId="0E874044" w14:textId="5E6AF8A9" w:rsidR="00857B90" w:rsidRDefault="00857B90" w:rsidP="00857B90">
      <w:pPr>
        <w:spacing w:before="240"/>
        <w:rPr>
          <w:lang w:bidi="ar-SA"/>
        </w:rPr>
      </w:pPr>
      <w:r>
        <w:rPr>
          <w:lang w:bidi="ar-SA"/>
        </w:rPr>
        <w:t xml:space="preserve">The applicant markets the enzyme as a liquid preparation containing the active constituent with the commercial name </w:t>
      </w:r>
      <w:proofErr w:type="spellStart"/>
      <w:r>
        <w:rPr>
          <w:lang w:bidi="ar-SA"/>
        </w:rPr>
        <w:t>Novozym</w:t>
      </w:r>
      <w:proofErr w:type="spellEnd"/>
      <w:r>
        <w:rPr>
          <w:lang w:bidi="ar-SA"/>
        </w:rPr>
        <w:t xml:space="preserve"> 28255.</w:t>
      </w:r>
    </w:p>
    <w:p w14:paraId="472D512D" w14:textId="1875A9EB" w:rsidR="00857B90" w:rsidRPr="00857B90" w:rsidRDefault="00857B90" w:rsidP="00857B90">
      <w:pPr>
        <w:spacing w:before="240"/>
        <w:rPr>
          <w:color w:val="00B050"/>
          <w:highlight w:val="yellow"/>
        </w:rPr>
      </w:pPr>
      <w:r w:rsidRPr="7805CA24">
        <w:rPr>
          <w:lang w:bidi="ar-SA"/>
        </w:rPr>
        <w:t xml:space="preserve">The applicant has indicated the enzyme is </w:t>
      </w:r>
      <w:r w:rsidR="002B1E59">
        <w:rPr>
          <w:lang w:bidi="ar-SA"/>
        </w:rPr>
        <w:t>to be used</w:t>
      </w:r>
      <w:r w:rsidRPr="7805CA24">
        <w:rPr>
          <w:lang w:bidi="ar-SA"/>
        </w:rPr>
        <w:t xml:space="preserve"> at minimum levels necessary to achieve the technological purpose, in accordance with Good Manufacturing Practice (GMP).</w:t>
      </w:r>
    </w:p>
    <w:p w14:paraId="309007E3" w14:textId="77777777" w:rsidR="00857B90" w:rsidRPr="00336F6B" w:rsidRDefault="00857B90" w:rsidP="00857B90">
      <w:pPr>
        <w:pStyle w:val="Heading2"/>
      </w:pPr>
      <w:bookmarkStart w:id="21" w:name="_Toc300761892"/>
      <w:bookmarkStart w:id="22" w:name="_Toc300933421"/>
      <w:bookmarkStart w:id="23" w:name="_Toc370223467"/>
      <w:bookmarkStart w:id="24" w:name="_Toc132711423"/>
      <w:r w:rsidRPr="00336F6B">
        <w:t>1.3</w:t>
      </w:r>
      <w:r w:rsidRPr="00336F6B">
        <w:tab/>
        <w:t>The current Standard</w:t>
      </w:r>
      <w:bookmarkEnd w:id="21"/>
      <w:bookmarkEnd w:id="22"/>
      <w:bookmarkEnd w:id="23"/>
      <w:bookmarkEnd w:id="24"/>
    </w:p>
    <w:p w14:paraId="5D406F5B" w14:textId="52297BB2" w:rsidR="00BE3D43" w:rsidRPr="00336F6B" w:rsidRDefault="00857B90" w:rsidP="00857B90">
      <w:r w:rsidRPr="00336F6B">
        <w:t>Australian and New Zealand food laws require food for sale to comply with relevant requirements in the Code. The relevant requirements for this application are summarised below.</w:t>
      </w:r>
    </w:p>
    <w:p w14:paraId="1B73F3A1" w14:textId="77777777" w:rsidR="00857B90" w:rsidRPr="002D5E0B" w:rsidRDefault="00857B90" w:rsidP="00857B90">
      <w:pPr>
        <w:rPr>
          <w:b/>
          <w:bCs/>
        </w:rPr>
      </w:pPr>
      <w:r w:rsidRPr="002D5E0B">
        <w:rPr>
          <w:b/>
          <w:bCs/>
        </w:rPr>
        <w:t>1.3.1</w:t>
      </w:r>
      <w:r w:rsidRPr="002D5E0B">
        <w:t xml:space="preserve"> </w:t>
      </w:r>
      <w:r w:rsidRPr="002D5E0B">
        <w:rPr>
          <w:b/>
          <w:bCs/>
        </w:rPr>
        <w:t>Permitted use</w:t>
      </w:r>
    </w:p>
    <w:p w14:paraId="4A561CD6" w14:textId="588B87AB" w:rsidR="00857B90" w:rsidRPr="00336F6B" w:rsidRDefault="00857B90" w:rsidP="00857B90">
      <w:r w:rsidRPr="00336F6B">
        <w:rPr>
          <w:lang w:val="en-US"/>
        </w:rPr>
        <w:t xml:space="preserve">Paragraph 1.1.1—10(6)(c) </w:t>
      </w:r>
      <w:r w:rsidR="002D5E0B">
        <w:rPr>
          <w:lang w:val="en-US"/>
        </w:rPr>
        <w:t xml:space="preserve">of the Code </w:t>
      </w:r>
      <w:r w:rsidRPr="00336F6B">
        <w:rPr>
          <w:lang w:val="en-US"/>
        </w:rPr>
        <w:t>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processing that meets all the following conditions:</w:t>
      </w:r>
    </w:p>
    <w:p w14:paraId="649D242B" w14:textId="77777777" w:rsidR="00857B90" w:rsidRPr="00336F6B" w:rsidRDefault="00857B90" w:rsidP="004D0ABD">
      <w:pPr>
        <w:pStyle w:val="FSBullet1"/>
        <w:spacing w:before="0" w:after="0"/>
      </w:pPr>
      <w:r w:rsidRPr="00336F6B">
        <w:rPr>
          <w:lang w:val="en-US"/>
        </w:rPr>
        <w:t>it is used to perform a technological purpose during processing,</w:t>
      </w:r>
    </w:p>
    <w:p w14:paraId="7B816B12" w14:textId="77777777" w:rsidR="00857B90" w:rsidRPr="00336F6B" w:rsidRDefault="00857B90" w:rsidP="004D0ABD">
      <w:pPr>
        <w:pStyle w:val="FSBullet1"/>
        <w:spacing w:before="0" w:after="0"/>
      </w:pPr>
      <w:r w:rsidRPr="00336F6B">
        <w:rPr>
          <w:lang w:val="en-US"/>
        </w:rPr>
        <w:t>it does not perform a technological purpose in the food for sale, and</w:t>
      </w:r>
    </w:p>
    <w:p w14:paraId="2EF58F7F" w14:textId="77777777" w:rsidR="00857B90" w:rsidRPr="00336F6B" w:rsidRDefault="00857B90" w:rsidP="004D0ABD">
      <w:pPr>
        <w:pStyle w:val="FSBullet1"/>
        <w:spacing w:before="0" w:after="0"/>
      </w:pPr>
      <w:r w:rsidRPr="00336F6B">
        <w:rPr>
          <w:lang w:val="en-US"/>
        </w:rPr>
        <w:t>it is a substance listed in Schedule 18 or identified in section S16—2 as an additive permitted at GMP.</w:t>
      </w:r>
    </w:p>
    <w:p w14:paraId="1D8EBBA7" w14:textId="77777777" w:rsidR="00857B90" w:rsidRPr="00336F6B" w:rsidRDefault="00857B90" w:rsidP="00336F6B">
      <w:pPr>
        <w:keepNext/>
      </w:pPr>
      <w:r w:rsidRPr="00336F6B">
        <w:rPr>
          <w:lang w:val="en-US"/>
        </w:rPr>
        <w:t>Standard 1.3.3 and Schedule 18 of the Code list the permitted processing aids. Enzymes of 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any technological purpose if the enzyme is derived from the corresponding source specified in the table. The table to subsection S18—9(3) lists those substances, including enzymes derived from particular sources, that are permitted to be used as processing aids for specific technological purposes in relation to:</w:t>
      </w:r>
    </w:p>
    <w:p w14:paraId="07C1B835" w14:textId="77777777" w:rsidR="00857B90" w:rsidRPr="00336F6B" w:rsidRDefault="00857B90" w:rsidP="004D0ABD">
      <w:pPr>
        <w:pStyle w:val="FSBullet1"/>
        <w:spacing w:before="0" w:after="0"/>
        <w:rPr>
          <w:lang w:val="en-US"/>
        </w:rPr>
      </w:pPr>
      <w:r w:rsidRPr="00336F6B">
        <w:rPr>
          <w:lang w:val="en-US"/>
        </w:rPr>
        <w:t>if a food is specified—that food, or</w:t>
      </w:r>
    </w:p>
    <w:p w14:paraId="2DC4881F" w14:textId="77777777" w:rsidR="00857B90" w:rsidRPr="00336F6B" w:rsidRDefault="00857B90" w:rsidP="004D0ABD">
      <w:pPr>
        <w:pStyle w:val="FSBullet1"/>
        <w:spacing w:before="0" w:after="0"/>
        <w:rPr>
          <w:lang w:val="en-US"/>
        </w:rPr>
      </w:pPr>
      <w:r w:rsidRPr="00336F6B">
        <w:rPr>
          <w:lang w:val="en-US"/>
        </w:rPr>
        <w:t>if no food is specified—any food.</w:t>
      </w:r>
    </w:p>
    <w:p w14:paraId="67A6CFF2" w14:textId="77777777" w:rsidR="00857B90" w:rsidRPr="00336F6B" w:rsidRDefault="00857B90" w:rsidP="00857B90">
      <w:r w:rsidRPr="00336F6B">
        <w:rPr>
          <w:lang w:val="en-US"/>
        </w:rPr>
        <w:lastRenderedPageBreak/>
        <w:t>Additionally, paragraph 1.3.3—11(c) specifies that the substance may only be used as a processing aid if it is not present in the food at greater than the maximum permitted level for that substance indicated in the table to section S18—9.</w:t>
      </w:r>
    </w:p>
    <w:p w14:paraId="05846A15" w14:textId="7855A375" w:rsidR="00857B90" w:rsidRDefault="00857B90" w:rsidP="00857B90">
      <w:pPr>
        <w:rPr>
          <w:lang w:val="en-US"/>
        </w:rPr>
      </w:pPr>
      <w:r w:rsidRPr="00336F6B">
        <w:rPr>
          <w:lang w:val="en-US"/>
        </w:rPr>
        <w:t>Paragraph 1.1.1—10(6)(g) requires that the presence as an ingredient or component in a food for sale of a food produced using gene technology must be expressly permitted by the Code. Paragraph 1.5.2—3(b) provides that permission in the Code for use as a processing aid also constitutes the permission required by paragraph 1.1.1—10(6)(g).</w:t>
      </w:r>
    </w:p>
    <w:p w14:paraId="4AFE42CD" w14:textId="77777777" w:rsidR="00336F6B" w:rsidRPr="007E19A4" w:rsidRDefault="00336F6B" w:rsidP="00336F6B">
      <w:pPr>
        <w:spacing w:before="240"/>
        <w:rPr>
          <w:lang w:val="en-NZ"/>
        </w:rPr>
      </w:pPr>
      <w:r w:rsidRPr="007E19A4">
        <w:rPr>
          <w:lang w:val="en-NZ"/>
        </w:rPr>
        <w:t xml:space="preserve">Endo-1,4-beta-xylanase from </w:t>
      </w:r>
      <w:r w:rsidRPr="007E19A4">
        <w:rPr>
          <w:i/>
          <w:iCs/>
          <w:lang w:val="en-NZ"/>
        </w:rPr>
        <w:t xml:space="preserve">T. </w:t>
      </w:r>
      <w:proofErr w:type="spellStart"/>
      <w:r w:rsidRPr="007E19A4">
        <w:rPr>
          <w:i/>
          <w:iCs/>
          <w:lang w:val="en-NZ"/>
        </w:rPr>
        <w:t>reesei</w:t>
      </w:r>
      <w:proofErr w:type="spellEnd"/>
      <w:r w:rsidRPr="007E19A4">
        <w:rPr>
          <w:lang w:val="en-NZ"/>
        </w:rPr>
        <w:t xml:space="preserve"> is already permitted to be used as a processing aid by the Code, but not from </w:t>
      </w:r>
      <w:r w:rsidRPr="007E19A4">
        <w:rPr>
          <w:i/>
          <w:iCs/>
          <w:lang w:val="en-NZ"/>
        </w:rPr>
        <w:t xml:space="preserve">T. </w:t>
      </w:r>
      <w:proofErr w:type="spellStart"/>
      <w:r w:rsidRPr="007E19A4">
        <w:rPr>
          <w:i/>
          <w:iCs/>
          <w:lang w:val="en-NZ"/>
        </w:rPr>
        <w:t>reesei</w:t>
      </w:r>
      <w:proofErr w:type="spellEnd"/>
      <w:r w:rsidRPr="007E19A4">
        <w:rPr>
          <w:lang w:val="en-NZ"/>
        </w:rPr>
        <w:t xml:space="preserve"> containing for gene for endo-1,4-beta-xylanase from </w:t>
      </w:r>
      <w:r w:rsidRPr="007E19A4">
        <w:rPr>
          <w:i/>
          <w:iCs/>
          <w:lang w:val="en-NZ"/>
        </w:rPr>
        <w:t xml:space="preserve">T. </w:t>
      </w:r>
      <w:proofErr w:type="spellStart"/>
      <w:r w:rsidRPr="007E19A4">
        <w:rPr>
          <w:i/>
          <w:iCs/>
          <w:lang w:val="en-NZ"/>
        </w:rPr>
        <w:t>leycettanus</w:t>
      </w:r>
      <w:proofErr w:type="spellEnd"/>
      <w:r w:rsidRPr="007E19A4">
        <w:rPr>
          <w:lang w:val="en-NZ"/>
        </w:rPr>
        <w:t xml:space="preserve"> as requested by the applicant.</w:t>
      </w:r>
    </w:p>
    <w:p w14:paraId="784D4073" w14:textId="77777777" w:rsidR="00857B90" w:rsidRPr="004F4AD4" w:rsidRDefault="00857B90" w:rsidP="00857B90">
      <w:pPr>
        <w:rPr>
          <w:b/>
          <w:bCs/>
        </w:rPr>
      </w:pPr>
      <w:r w:rsidRPr="004F4AD4">
        <w:rPr>
          <w:b/>
          <w:bCs/>
        </w:rPr>
        <w:t>1.3.2</w:t>
      </w:r>
      <w:r w:rsidRPr="004F4AD4">
        <w:t xml:space="preserve"> </w:t>
      </w:r>
      <w:r w:rsidRPr="004F4AD4">
        <w:rPr>
          <w:b/>
          <w:bCs/>
        </w:rPr>
        <w:t>Identity and purity requirements</w:t>
      </w:r>
    </w:p>
    <w:p w14:paraId="46AE7BE8" w14:textId="0D0DAE2A" w:rsidR="00857B90" w:rsidRPr="00336F6B" w:rsidRDefault="00857B90" w:rsidP="00857B90">
      <w:r w:rsidRPr="00336F6B">
        <w:rPr>
          <w:lang w:val="en-US"/>
        </w:rPr>
        <w:t>Paragraph 1.1.1—15(1)(b) of the Code requires substances used as processing aids to comply with any relevant identity and purity specifications listed in Schedule 3 of the Code.</w:t>
      </w:r>
    </w:p>
    <w:p w14:paraId="2ED43E23" w14:textId="09296F33" w:rsidR="00857B90" w:rsidRPr="00336F6B" w:rsidRDefault="00857B90" w:rsidP="00857B90">
      <w:r w:rsidRPr="00336F6B">
        <w:rPr>
          <w:lang w:val="en-US"/>
        </w:rPr>
        <w:t xml:space="preserve">Subsection S3—2(1) of Schedule 3 incorporates by reference the specifications </w:t>
      </w:r>
      <w:r w:rsidRPr="00336F6B">
        <w:rPr>
          <w:lang w:val="en-AU"/>
        </w:rPr>
        <w:t xml:space="preserve">listed in </w:t>
      </w:r>
      <w:r w:rsidRPr="00336F6B">
        <w:rPr>
          <w:lang w:val="en-US"/>
        </w:rPr>
        <w:t xml:space="preserve">the Joint FAO/WHO Expert Committee on Food Additives (JECFA) Combined Compendium of Food Additive Specifications (FAO JECFA Monographs 23, 2019), and the United States Pharmacopeial Convention (USPC 2020) Food </w:t>
      </w:r>
      <w:r w:rsidR="00063414">
        <w:rPr>
          <w:lang w:val="en-US"/>
        </w:rPr>
        <w:t>c</w:t>
      </w:r>
      <w:r w:rsidRPr="00336F6B">
        <w:rPr>
          <w:lang w:val="en-US"/>
        </w:rPr>
        <w:t xml:space="preserve">hemicals </w:t>
      </w:r>
      <w:r w:rsidR="00063414">
        <w:rPr>
          <w:lang w:val="en-US"/>
        </w:rPr>
        <w:t>c</w:t>
      </w:r>
      <w:r w:rsidRPr="00336F6B">
        <w:rPr>
          <w:lang w:val="en-US"/>
        </w:rPr>
        <w:t>odex (12th edition). These include specifications for enzyme preparations used in food processing.</w:t>
      </w:r>
    </w:p>
    <w:p w14:paraId="1F6089CD" w14:textId="77777777" w:rsidR="00857B90" w:rsidRPr="004F4AD4" w:rsidRDefault="00857B90" w:rsidP="00857B90">
      <w:pPr>
        <w:rPr>
          <w:b/>
          <w:bCs/>
        </w:rPr>
      </w:pPr>
      <w:r w:rsidRPr="004F4AD4">
        <w:rPr>
          <w:b/>
          <w:bCs/>
        </w:rPr>
        <w:t>1.3.3</w:t>
      </w:r>
      <w:r w:rsidRPr="004F4AD4">
        <w:t xml:space="preserve"> </w:t>
      </w:r>
      <w:r w:rsidRPr="004F4AD4">
        <w:rPr>
          <w:b/>
          <w:bCs/>
        </w:rPr>
        <w:t>Labelling requirements</w:t>
      </w:r>
    </w:p>
    <w:p w14:paraId="55934314" w14:textId="77777777" w:rsidR="00857B90" w:rsidRPr="00336F6B" w:rsidRDefault="00857B90" w:rsidP="00857B90">
      <w:pPr>
        <w:rPr>
          <w:rFonts w:cs="Arial"/>
          <w:szCs w:val="22"/>
        </w:rPr>
      </w:pPr>
      <w:bookmarkStart w:id="25" w:name="_Toc18672931"/>
      <w:bookmarkStart w:id="26" w:name="_Toc59089301"/>
      <w:bookmarkStart w:id="27" w:name="_Toc526345341"/>
      <w:bookmarkStart w:id="28" w:name="_Toc528569224"/>
      <w:bookmarkStart w:id="29" w:name="_Toc532222240"/>
      <w:bookmarkEnd w:id="25"/>
      <w:bookmarkEnd w:id="26"/>
      <w:r w:rsidRPr="00336F6B">
        <w:rPr>
          <w:rFonts w:cs="Arial"/>
          <w:szCs w:val="22"/>
        </w:rPr>
        <w:t>Subsection 1.1.1</w:t>
      </w:r>
      <w:r w:rsidRPr="00336F6B">
        <w:rPr>
          <w:rFonts w:cs="Arial"/>
          <w:szCs w:val="22"/>
          <w:lang w:val="en-AU"/>
        </w:rPr>
        <w:t>—</w:t>
      </w:r>
      <w:r w:rsidRPr="00336F6B">
        <w:rPr>
          <w:rFonts w:cs="Arial"/>
          <w:szCs w:val="22"/>
        </w:rPr>
        <w:t>10(8) provides that food for sale must comply with all relevant labelling requirements in the Code.</w:t>
      </w:r>
    </w:p>
    <w:p w14:paraId="0D814CA8" w14:textId="77777777" w:rsidR="00857B90" w:rsidRPr="00336F6B" w:rsidRDefault="00857B90" w:rsidP="00857B90">
      <w:pPr>
        <w:rPr>
          <w:lang w:eastAsia="en-AU" w:bidi="ar-SA"/>
        </w:rPr>
      </w:pPr>
      <w:r w:rsidRPr="00336F6B">
        <w:t>Paragraphs 1.2.4—3(2)(d) and (e) exempt processing aids from the requirement to be declared in the statement of ingredients, unless other requirements apply.</w:t>
      </w:r>
    </w:p>
    <w:p w14:paraId="5AB7D96A" w14:textId="3488BD4F" w:rsidR="00857B90" w:rsidRDefault="00857B90" w:rsidP="00857B90">
      <w:pPr>
        <w:pStyle w:val="paragraph"/>
        <w:spacing w:before="0" w:beforeAutospacing="0" w:after="0" w:afterAutospacing="0"/>
        <w:textAlignment w:val="baseline"/>
        <w:rPr>
          <w:rFonts w:ascii="Arial" w:hAnsi="Arial" w:cs="Arial"/>
          <w:sz w:val="22"/>
          <w:szCs w:val="22"/>
          <w:lang w:val="en-AU"/>
        </w:rPr>
      </w:pPr>
      <w:bookmarkStart w:id="30" w:name="_Hlk112227373"/>
      <w:bookmarkEnd w:id="27"/>
      <w:bookmarkEnd w:id="28"/>
      <w:bookmarkEnd w:id="29"/>
      <w:r w:rsidRPr="00336F6B">
        <w:rPr>
          <w:rFonts w:ascii="Arial" w:hAnsi="Arial" w:cs="Arial"/>
          <w:sz w:val="22"/>
          <w:szCs w:val="22"/>
          <w:lang w:val="en-AU"/>
        </w:rPr>
        <w:t xml:space="preserve">Section 1.5.2—4 of the Code requires a food for sale that consists of a </w:t>
      </w:r>
      <w:r w:rsidRPr="00336F6B">
        <w:rPr>
          <w:rFonts w:ascii="Arial" w:hAnsi="Arial" w:cs="Arial"/>
          <w:i/>
          <w:iCs/>
          <w:sz w:val="22"/>
          <w:szCs w:val="22"/>
          <w:lang w:val="en-AU"/>
        </w:rPr>
        <w:t>genetically modified food</w:t>
      </w:r>
      <w:r w:rsidRPr="00336F6B">
        <w:rPr>
          <w:rFonts w:ascii="Arial" w:hAnsi="Arial" w:cs="Arial"/>
          <w:i/>
          <w:iCs/>
          <w:sz w:val="22"/>
          <w:szCs w:val="22"/>
          <w:vertAlign w:val="superscript"/>
          <w:lang w:val="en-AU"/>
        </w:rPr>
        <w:footnoteReference w:id="3"/>
      </w:r>
      <w:r w:rsidRPr="00336F6B">
        <w:rPr>
          <w:rFonts w:ascii="Arial" w:hAnsi="Arial" w:cs="Arial"/>
          <w:sz w:val="22"/>
          <w:szCs w:val="22"/>
          <w:lang w:val="en-AU"/>
        </w:rPr>
        <w:t xml:space="preserve"> (GM food) or has a GM food as an ingredient to be labelled as ‘genetically modified’, unless an exemption applies. The label statement ‘genetically modified’ must be made in conjunction with the name of the GM food. If the GM food is used as a processing aid, this statement may be included in the statement of ingredients. The requirements imposed by section 1.5.2—4 apply to foods for retail sale and to foods sold to a caterer in accordance with Standard 1.2.1.</w:t>
      </w:r>
    </w:p>
    <w:p w14:paraId="24080874" w14:textId="77777777" w:rsidR="009E574E" w:rsidRPr="009E574E" w:rsidRDefault="009E574E" w:rsidP="009E574E">
      <w:pPr>
        <w:keepNext/>
        <w:widowControl w:val="0"/>
        <w:spacing w:before="240" w:after="240"/>
        <w:ind w:left="851" w:hanging="851"/>
        <w:outlineLvl w:val="1"/>
        <w:rPr>
          <w:rFonts w:cs="Arial"/>
          <w:b/>
          <w:bCs/>
          <w:sz w:val="28"/>
          <w:szCs w:val="22"/>
          <w:lang w:eastAsia="en-AU" w:bidi="ar-SA"/>
        </w:rPr>
      </w:pPr>
      <w:bookmarkStart w:id="31" w:name="_Toc124496494"/>
      <w:r w:rsidRPr="009E574E">
        <w:rPr>
          <w:rFonts w:cs="Arial"/>
          <w:b/>
          <w:bCs/>
          <w:sz w:val="28"/>
          <w:szCs w:val="22"/>
          <w:lang w:eastAsia="en-AU" w:bidi="ar-SA"/>
        </w:rPr>
        <w:t>1.4</w:t>
      </w:r>
      <w:r w:rsidRPr="009E574E">
        <w:rPr>
          <w:rFonts w:cs="Arial"/>
          <w:b/>
          <w:bCs/>
          <w:sz w:val="28"/>
          <w:szCs w:val="22"/>
          <w:lang w:eastAsia="en-AU" w:bidi="ar-SA"/>
        </w:rPr>
        <w:tab/>
        <w:t>International standards</w:t>
      </w:r>
      <w:bookmarkEnd w:id="31"/>
    </w:p>
    <w:p w14:paraId="633915AB" w14:textId="77777777" w:rsidR="009E574E" w:rsidRPr="009E574E" w:rsidRDefault="009E574E" w:rsidP="009E574E">
      <w:pPr>
        <w:widowControl w:val="0"/>
        <w:tabs>
          <w:tab w:val="left" w:pos="993"/>
        </w:tabs>
        <w:spacing w:before="0" w:after="0"/>
      </w:pPr>
      <w:r w:rsidRPr="009E574E">
        <w:t>In developing food regulatory measures, Food Standards Australia New Zealand (FSANZ) must have regard to the promotion of consistency between domestic and international food standards. In terms of food safety, the relevant international standard setting body is the Codex Alimentarius Commission (Codex). In contrast to food additives, there is no Codex Alimentarius ‘general standard’ for enzymes however, as noted above, there are internationally recognised specifications for enzyme preparations established by JECFA and Food chemicals codex.</w:t>
      </w:r>
    </w:p>
    <w:p w14:paraId="20011E8F" w14:textId="77777777" w:rsidR="009E574E" w:rsidRPr="009E574E" w:rsidRDefault="009E574E" w:rsidP="009E574E">
      <w:pPr>
        <w:widowControl w:val="0"/>
        <w:tabs>
          <w:tab w:val="left" w:pos="993"/>
        </w:tabs>
        <w:spacing w:before="0" w:after="0"/>
      </w:pPr>
    </w:p>
    <w:p w14:paraId="716E2220" w14:textId="565758F5" w:rsidR="009E574E" w:rsidRPr="006A3444" w:rsidRDefault="009E574E" w:rsidP="006A3444">
      <w:pPr>
        <w:widowControl w:val="0"/>
        <w:tabs>
          <w:tab w:val="left" w:pos="993"/>
        </w:tabs>
        <w:spacing w:before="0" w:after="0"/>
        <w:rPr>
          <w:lang w:eastAsia="en-AU" w:bidi="ar-SA"/>
        </w:rPr>
      </w:pPr>
      <w:r w:rsidRPr="009E574E">
        <w:t>In addition, t</w:t>
      </w:r>
      <w:r w:rsidRPr="009E574E">
        <w:rPr>
          <w:lang w:bidi="ar-SA"/>
        </w:rPr>
        <w:t xml:space="preserve">here is a Codex guideline, </w:t>
      </w:r>
      <w:r w:rsidRPr="009E574E">
        <w:rPr>
          <w:i/>
          <w:iCs/>
          <w:lang w:bidi="ar-SA"/>
        </w:rPr>
        <w:t>Guidelines on Substances used as Processing Aids</w:t>
      </w:r>
      <w:r w:rsidRPr="009E574E">
        <w:rPr>
          <w:lang w:bidi="ar-SA"/>
        </w:rPr>
        <w:t xml:space="preserve"> (CAC/GL 75-2010), which sets out general principles for the safe use of substances used as processing aids, including that substances used as processing aids shall be used under </w:t>
      </w:r>
      <w:r w:rsidRPr="009E574E">
        <w:rPr>
          <w:lang w:bidi="ar-SA"/>
        </w:rPr>
        <w:lastRenderedPageBreak/>
        <w:t>conditions of GMP.</w:t>
      </w:r>
    </w:p>
    <w:p w14:paraId="5A1CA161" w14:textId="7EB5319E" w:rsidR="00857B90" w:rsidRPr="00336F6B" w:rsidRDefault="00857B90" w:rsidP="00857B90">
      <w:pPr>
        <w:pStyle w:val="Heading2"/>
        <w:rPr>
          <w:u w:color="FFFF00"/>
        </w:rPr>
      </w:pPr>
      <w:bookmarkStart w:id="32" w:name="_Toc286391007"/>
      <w:bookmarkStart w:id="33" w:name="_Toc300933423"/>
      <w:bookmarkStart w:id="34" w:name="_Toc370223468"/>
      <w:bookmarkStart w:id="35" w:name="_Toc132711424"/>
      <w:bookmarkStart w:id="36" w:name="_Toc175381432"/>
      <w:bookmarkEnd w:id="30"/>
      <w:r w:rsidRPr="00336F6B">
        <w:rPr>
          <w:u w:color="FFFF00"/>
        </w:rPr>
        <w:t>1.</w:t>
      </w:r>
      <w:r w:rsidR="009E574E">
        <w:rPr>
          <w:u w:color="FFFF00"/>
        </w:rPr>
        <w:t>5</w:t>
      </w:r>
      <w:r w:rsidRPr="00336F6B">
        <w:rPr>
          <w:u w:color="FFFF00"/>
        </w:rPr>
        <w:tab/>
        <w:t>Reasons for accepting application</w:t>
      </w:r>
      <w:bookmarkEnd w:id="32"/>
      <w:bookmarkEnd w:id="33"/>
      <w:bookmarkEnd w:id="34"/>
      <w:bookmarkEnd w:id="35"/>
    </w:p>
    <w:bookmarkEnd w:id="36"/>
    <w:p w14:paraId="1767F955" w14:textId="77777777" w:rsidR="00857B90" w:rsidRPr="00336F6B" w:rsidRDefault="00857B90" w:rsidP="00857B90">
      <w:pPr>
        <w:keepNext/>
      </w:pPr>
      <w:r w:rsidRPr="00336F6B">
        <w:t>The application was accepted for assessment because:</w:t>
      </w:r>
    </w:p>
    <w:p w14:paraId="0AD4E55C" w14:textId="77777777" w:rsidR="00857B90" w:rsidRPr="00336F6B" w:rsidRDefault="00857B90" w:rsidP="004D0ABD">
      <w:pPr>
        <w:pStyle w:val="FSBullet1"/>
        <w:numPr>
          <w:ilvl w:val="0"/>
          <w:numId w:val="4"/>
        </w:numPr>
        <w:ind w:left="714" w:hanging="357"/>
        <w:contextualSpacing/>
      </w:pPr>
      <w:r w:rsidRPr="00336F6B">
        <w:t xml:space="preserve">it complied with the procedural requirements under subsection 22(2) of the </w:t>
      </w:r>
      <w:r w:rsidRPr="00336F6B">
        <w:rPr>
          <w:i/>
        </w:rPr>
        <w:t xml:space="preserve">Food Standards Australia New Zealand Act 1991 </w:t>
      </w:r>
      <w:r w:rsidRPr="00336F6B">
        <w:t>(FSANZ Act)</w:t>
      </w:r>
    </w:p>
    <w:p w14:paraId="246FA5BC" w14:textId="0853B397" w:rsidR="00857B90" w:rsidRPr="00336F6B" w:rsidRDefault="00857B90" w:rsidP="004D0ABD">
      <w:pPr>
        <w:pStyle w:val="FSBullet1"/>
        <w:numPr>
          <w:ilvl w:val="0"/>
          <w:numId w:val="4"/>
        </w:numPr>
        <w:ind w:left="714" w:hanging="357"/>
        <w:contextualSpacing/>
      </w:pPr>
      <w:r w:rsidRPr="00336F6B">
        <w:t xml:space="preserve">it related to a matter that </w:t>
      </w:r>
      <w:r w:rsidR="00007553">
        <w:t>warranted the variation of</w:t>
      </w:r>
      <w:r w:rsidRPr="00336F6B">
        <w:t xml:space="preserve"> a food regulatory measure.</w:t>
      </w:r>
    </w:p>
    <w:p w14:paraId="6A35D052" w14:textId="3825483F" w:rsidR="00857B90" w:rsidRPr="00336F6B" w:rsidRDefault="00857B90" w:rsidP="00857B90">
      <w:pPr>
        <w:pStyle w:val="Heading2"/>
      </w:pPr>
      <w:bookmarkStart w:id="37" w:name="_Toc370223469"/>
      <w:bookmarkStart w:id="38" w:name="_Toc132711425"/>
      <w:r w:rsidRPr="00336F6B">
        <w:t>1.</w:t>
      </w:r>
      <w:r w:rsidR="009E574E">
        <w:t>6</w:t>
      </w:r>
      <w:r w:rsidRPr="00336F6B">
        <w:tab/>
        <w:t>Procedure for assessment</w:t>
      </w:r>
      <w:bookmarkEnd w:id="37"/>
      <w:bookmarkEnd w:id="38"/>
    </w:p>
    <w:p w14:paraId="2D85CE61" w14:textId="77777777" w:rsidR="00857B90" w:rsidRPr="00336F6B" w:rsidRDefault="00857B90" w:rsidP="00857B90">
      <w:r w:rsidRPr="00336F6B">
        <w:t>The application was assessed under the General Procedure in the FSANZ Act.</w:t>
      </w:r>
    </w:p>
    <w:p w14:paraId="014B2AFF" w14:textId="1435408C" w:rsidR="00857B90" w:rsidRPr="00336F6B" w:rsidRDefault="00857B90" w:rsidP="00857B90">
      <w:pPr>
        <w:pStyle w:val="Heading2"/>
      </w:pPr>
      <w:bookmarkStart w:id="39" w:name="_Toc132711426"/>
      <w:r w:rsidRPr="00336F6B">
        <w:t>1.</w:t>
      </w:r>
      <w:r w:rsidR="009E574E">
        <w:t>7</w:t>
      </w:r>
      <w:r w:rsidRPr="00336F6B">
        <w:tab/>
        <w:t>Decision</w:t>
      </w:r>
      <w:bookmarkEnd w:id="39"/>
    </w:p>
    <w:p w14:paraId="079D26FE" w14:textId="77777777" w:rsidR="00336F6B" w:rsidRPr="00336F6B" w:rsidRDefault="00857B90" w:rsidP="00857B90">
      <w:r w:rsidRPr="00336F6B">
        <w:t xml:space="preserve">For reasons outlined in this report, FSANZ decided to approve a draft variation amending the Code to permit the use of this enzyme as a processing aid </w:t>
      </w:r>
      <w:r w:rsidR="00336F6B" w:rsidRPr="00336F6B">
        <w:rPr>
          <w:lang w:val="en-AU"/>
        </w:rPr>
        <w:t xml:space="preserve">in </w:t>
      </w:r>
      <w:r w:rsidR="00336F6B" w:rsidRPr="00336F6B">
        <w:t>brewing, fats and oils processing, grain processing and potable alcohol production.</w:t>
      </w:r>
    </w:p>
    <w:p w14:paraId="613E5E22" w14:textId="32ED82C4" w:rsidR="00857B90" w:rsidRPr="00336F6B" w:rsidRDefault="00857B90" w:rsidP="00857B90">
      <w:r w:rsidRPr="00336F6B">
        <w:t>The draft variation as proposed following assessment was approved without change. The approved draft variation takes effect on gazettal and is at Attachment A.</w:t>
      </w:r>
    </w:p>
    <w:p w14:paraId="30AE1E56" w14:textId="77777777" w:rsidR="00857B90" w:rsidRPr="00336F6B" w:rsidRDefault="00857B90" w:rsidP="00857B90">
      <w:pPr>
        <w:rPr>
          <w:u w:val="single"/>
        </w:rPr>
      </w:pPr>
      <w:r w:rsidRPr="00336F6B">
        <w:t>The related explanatory statement is at Attachment B. An explanatory statement is required to accompany an instrument if it is lodged on the Federal Register of Legislation.</w:t>
      </w:r>
    </w:p>
    <w:p w14:paraId="22CE96DF" w14:textId="77777777" w:rsidR="00857B90" w:rsidRPr="00336F6B" w:rsidRDefault="00857B90" w:rsidP="00857B90">
      <w:pPr>
        <w:pStyle w:val="Heading1"/>
      </w:pPr>
      <w:bookmarkStart w:id="40" w:name="_Toc132711427"/>
      <w:bookmarkStart w:id="41" w:name="_Toc11735630"/>
      <w:bookmarkStart w:id="42" w:name="_Toc29883114"/>
      <w:bookmarkStart w:id="43" w:name="_Toc41906801"/>
      <w:bookmarkStart w:id="44" w:name="_Toc41907548"/>
      <w:bookmarkStart w:id="45" w:name="_Toc120358578"/>
      <w:bookmarkStart w:id="46" w:name="_Toc175381435"/>
      <w:bookmarkEnd w:id="5"/>
      <w:bookmarkEnd w:id="6"/>
      <w:bookmarkEnd w:id="7"/>
      <w:bookmarkEnd w:id="8"/>
      <w:bookmarkEnd w:id="9"/>
      <w:r w:rsidRPr="00336F6B">
        <w:t>2</w:t>
      </w:r>
      <w:r w:rsidRPr="00336F6B">
        <w:tab/>
        <w:t xml:space="preserve">Summary </w:t>
      </w:r>
      <w:r w:rsidRPr="00336F6B">
        <w:rPr>
          <w:u w:color="FFFF00"/>
        </w:rPr>
        <w:t>of</w:t>
      </w:r>
      <w:r w:rsidRPr="00336F6B">
        <w:t xml:space="preserve"> the findings</w:t>
      </w:r>
      <w:bookmarkEnd w:id="40"/>
    </w:p>
    <w:p w14:paraId="6A7EA361" w14:textId="77777777" w:rsidR="00857B90" w:rsidRPr="00336F6B" w:rsidRDefault="00857B90" w:rsidP="00857B90">
      <w:pPr>
        <w:pStyle w:val="Heading2"/>
      </w:pPr>
      <w:bookmarkStart w:id="47" w:name="_Toc300933438"/>
      <w:bookmarkStart w:id="48" w:name="_Toc370223471"/>
      <w:bookmarkStart w:id="49" w:name="_Toc370225386"/>
      <w:bookmarkStart w:id="50" w:name="_Toc132711428"/>
      <w:bookmarkStart w:id="51" w:name="_Toc286391009"/>
      <w:bookmarkStart w:id="52" w:name="_Toc300933425"/>
      <w:bookmarkStart w:id="53" w:name="_Toc309291838"/>
      <w:bookmarkStart w:id="54" w:name="_Toc309385455"/>
      <w:bookmarkStart w:id="55" w:name="_Toc120358583"/>
      <w:bookmarkStart w:id="56" w:name="_Toc175381440"/>
      <w:r w:rsidRPr="00336F6B">
        <w:t>2.1</w:t>
      </w:r>
      <w:r w:rsidRPr="00336F6B">
        <w:tab/>
        <w:t xml:space="preserve">Summary of issues raised </w:t>
      </w:r>
      <w:bookmarkEnd w:id="47"/>
      <w:r w:rsidRPr="00336F6B">
        <w:t>in submissions</w:t>
      </w:r>
      <w:bookmarkEnd w:id="48"/>
      <w:bookmarkEnd w:id="49"/>
      <w:bookmarkEnd w:id="50"/>
    </w:p>
    <w:p w14:paraId="6AE335E1" w14:textId="77777777" w:rsidR="00336F6B" w:rsidRDefault="00336F6B" w:rsidP="00336F6B">
      <w:pPr>
        <w:rPr>
          <w:rFonts w:cs="Arial"/>
          <w:szCs w:val="22"/>
          <w:lang w:bidi="ar-SA"/>
        </w:rPr>
      </w:pPr>
      <w:bookmarkStart w:id="57" w:name="_Hlk130539428"/>
      <w:r>
        <w:rPr>
          <w:rFonts w:cs="Arial"/>
        </w:rPr>
        <w:t>FSANZ called for submissions on a draft variation to the Code from 8 February 2023 to 22 March 2023. Two submissions were received. Both submitters supported permitting the use of the new GM microbial source for the enzyme endo-1,4-beta-xylanase as a processing aid in brewing, fats and oils processing, grain processing and potable alcohol production.</w:t>
      </w:r>
    </w:p>
    <w:p w14:paraId="2996F51F" w14:textId="77777777" w:rsidR="00336F6B" w:rsidRDefault="00336F6B" w:rsidP="00336F6B">
      <w:pPr>
        <w:keepNext/>
        <w:rPr>
          <w:rFonts w:cs="Arial"/>
        </w:rPr>
      </w:pPr>
      <w:r>
        <w:rPr>
          <w:rFonts w:cs="Arial"/>
        </w:rPr>
        <w:t>The submissions were received from:</w:t>
      </w:r>
    </w:p>
    <w:p w14:paraId="1F466DD2" w14:textId="77777777" w:rsidR="00336F6B" w:rsidRDefault="00336F6B" w:rsidP="004D0ABD">
      <w:pPr>
        <w:numPr>
          <w:ilvl w:val="0"/>
          <w:numId w:val="7"/>
        </w:numPr>
        <w:ind w:left="567" w:hanging="567"/>
        <w:rPr>
          <w:rFonts w:cs="Arial"/>
        </w:rPr>
      </w:pPr>
      <w:r>
        <w:rPr>
          <w:rFonts w:cs="Arial"/>
        </w:rPr>
        <w:t>New Zealand Food Safety</w:t>
      </w:r>
    </w:p>
    <w:p w14:paraId="08100DB9" w14:textId="6C9C3727" w:rsidR="00336F6B" w:rsidRPr="00336F6B" w:rsidRDefault="00336F6B" w:rsidP="004D0ABD">
      <w:pPr>
        <w:numPr>
          <w:ilvl w:val="0"/>
          <w:numId w:val="7"/>
        </w:numPr>
        <w:ind w:left="567" w:hanging="567"/>
        <w:rPr>
          <w:rFonts w:cs="Arial"/>
        </w:rPr>
      </w:pPr>
      <w:r>
        <w:rPr>
          <w:rFonts w:cs="Arial"/>
        </w:rPr>
        <w:t>New Zealand Food and Grocery Council.</w:t>
      </w:r>
    </w:p>
    <w:p w14:paraId="0E34AC20" w14:textId="6DF9CE38" w:rsidR="00857B90" w:rsidRPr="00336F6B" w:rsidRDefault="00857B90" w:rsidP="00857B90">
      <w:pPr>
        <w:pStyle w:val="Heading2"/>
      </w:pPr>
      <w:bookmarkStart w:id="58" w:name="_Toc370223472"/>
      <w:bookmarkStart w:id="59" w:name="_Toc370225387"/>
      <w:bookmarkStart w:id="60" w:name="_Toc132711429"/>
      <w:bookmarkStart w:id="61" w:name="_Toc309291812"/>
      <w:bookmarkStart w:id="62" w:name="_Toc175381442"/>
      <w:bookmarkEnd w:id="51"/>
      <w:bookmarkEnd w:id="52"/>
      <w:bookmarkEnd w:id="53"/>
      <w:bookmarkEnd w:id="54"/>
      <w:bookmarkEnd w:id="55"/>
      <w:bookmarkEnd w:id="56"/>
      <w:bookmarkEnd w:id="57"/>
      <w:r w:rsidRPr="00336F6B">
        <w:t>2.2</w:t>
      </w:r>
      <w:r w:rsidRPr="00336F6B">
        <w:tab/>
        <w:t>Risk assessment</w:t>
      </w:r>
      <w:bookmarkEnd w:id="58"/>
      <w:bookmarkEnd w:id="59"/>
      <w:bookmarkEnd w:id="60"/>
    </w:p>
    <w:p w14:paraId="3281C05B" w14:textId="77777777" w:rsidR="00336F6B" w:rsidRPr="00343D4A" w:rsidRDefault="00336F6B" w:rsidP="00336F6B">
      <w:r w:rsidRPr="00343D4A">
        <w:t xml:space="preserve">FSANZ has assessed the public health and safety risks associated with </w:t>
      </w:r>
      <w:r>
        <w:t xml:space="preserve">endo-1,4-beta-xylanase from </w:t>
      </w:r>
      <w:r w:rsidRPr="00FA6196">
        <w:rPr>
          <w:i/>
          <w:iCs/>
        </w:rPr>
        <w:t xml:space="preserve">T. </w:t>
      </w:r>
      <w:proofErr w:type="spellStart"/>
      <w:r w:rsidRPr="00FA6196">
        <w:rPr>
          <w:i/>
          <w:iCs/>
        </w:rPr>
        <w:t>leycettanus</w:t>
      </w:r>
      <w:proofErr w:type="spellEnd"/>
      <w:r>
        <w:t xml:space="preserve"> that is </w:t>
      </w:r>
      <w:r w:rsidRPr="00343D4A">
        <w:t xml:space="preserve">produced by GM </w:t>
      </w:r>
      <w:r>
        <w:rPr>
          <w:i/>
        </w:rPr>
        <w:t xml:space="preserve">T. </w:t>
      </w:r>
      <w:proofErr w:type="spellStart"/>
      <w:r>
        <w:rPr>
          <w:i/>
        </w:rPr>
        <w:t>reesei</w:t>
      </w:r>
      <w:proofErr w:type="spellEnd"/>
      <w:r w:rsidRPr="00343D4A">
        <w:t xml:space="preserve"> and its proposed use as a processing aid. A summary of this risk assessment is provided below.</w:t>
      </w:r>
    </w:p>
    <w:p w14:paraId="36BD2047" w14:textId="0E396C6A" w:rsidR="00336F6B" w:rsidRDefault="00336F6B" w:rsidP="00336F6B">
      <w:pPr>
        <w:spacing w:before="240"/>
      </w:pPr>
      <w:r>
        <w:t xml:space="preserve">The proposed use of this endo-1,4-beta-xylanase as a processing aid for brewing, </w:t>
      </w:r>
      <w:r w:rsidRPr="73FC1001">
        <w:rPr>
          <w:lang w:val="en-AU" w:bidi="ar-SA"/>
        </w:rPr>
        <w:t xml:space="preserve">fats and oils processing, grain processing and potable alcohol production </w:t>
      </w:r>
      <w:r>
        <w:t>is technologically justified.</w:t>
      </w:r>
    </w:p>
    <w:p w14:paraId="108C06A2" w14:textId="71922244" w:rsidR="00336F6B" w:rsidRDefault="00336F6B" w:rsidP="00336F6B">
      <w:pPr>
        <w:spacing w:before="240"/>
      </w:pPr>
      <w:r>
        <w:rPr>
          <w:lang w:bidi="ar-SA"/>
        </w:rPr>
        <w:t>No public health and safety concerns were identified in the assessment of endo</w:t>
      </w:r>
      <w:r>
        <w:rPr>
          <w:lang w:bidi="ar-SA"/>
        </w:rPr>
        <w:noBreakHyphen/>
        <w:t>1,4</w:t>
      </w:r>
      <w:r>
        <w:rPr>
          <w:lang w:bidi="ar-SA"/>
        </w:rPr>
        <w:noBreakHyphen/>
        <w:t>beta</w:t>
      </w:r>
      <w:r>
        <w:rPr>
          <w:lang w:bidi="ar-SA"/>
        </w:rPr>
        <w:noBreakHyphen/>
        <w:t xml:space="preserve">xylanase from GM </w:t>
      </w:r>
      <w:r w:rsidRPr="7805CA24">
        <w:rPr>
          <w:i/>
          <w:iCs/>
          <w:lang w:bidi="ar-SA"/>
        </w:rPr>
        <w:t xml:space="preserve">T. </w:t>
      </w:r>
      <w:proofErr w:type="spellStart"/>
      <w:r w:rsidRPr="7805CA24">
        <w:rPr>
          <w:i/>
          <w:iCs/>
          <w:lang w:bidi="ar-SA"/>
        </w:rPr>
        <w:t>reesei</w:t>
      </w:r>
      <w:proofErr w:type="spellEnd"/>
      <w:r>
        <w:rPr>
          <w:lang w:bidi="ar-SA"/>
        </w:rPr>
        <w:t xml:space="preserve"> under the proposed conditions of use. </w:t>
      </w:r>
      <w:r>
        <w:t xml:space="preserve">A microbiological assessment concluded that </w:t>
      </w:r>
      <w:r w:rsidRPr="7805CA24">
        <w:rPr>
          <w:i/>
          <w:iCs/>
        </w:rPr>
        <w:t xml:space="preserve">T. </w:t>
      </w:r>
      <w:proofErr w:type="spellStart"/>
      <w:r w:rsidRPr="7805CA24">
        <w:rPr>
          <w:i/>
          <w:iCs/>
        </w:rPr>
        <w:t>reesei</w:t>
      </w:r>
      <w:proofErr w:type="spellEnd"/>
      <w:r w:rsidRPr="7805CA24">
        <w:rPr>
          <w:i/>
          <w:iCs/>
        </w:rPr>
        <w:t xml:space="preserve"> </w:t>
      </w:r>
      <w:r>
        <w:t>has a long history of safe use in food and is neither pathogenic nor toxigenic. A biotechnology assessment confirmed the presence and stability of the inserted DNA. A toxicological assessment combined with a dietary exposure assessment concluded the enzyme is safe under proposed conditions of use.</w:t>
      </w:r>
    </w:p>
    <w:p w14:paraId="66E72939" w14:textId="77777777" w:rsidR="00336F6B" w:rsidRDefault="00336F6B" w:rsidP="00336F6B">
      <w:pPr>
        <w:spacing w:before="240"/>
      </w:pPr>
      <w:r>
        <w:lastRenderedPageBreak/>
        <w:t>In the absence of any identifiable hazard, an acceptable daily intake (ADI) ‘not specified’ is appropriate.</w:t>
      </w:r>
    </w:p>
    <w:p w14:paraId="14C81DAD" w14:textId="77777777" w:rsidR="00857B90" w:rsidRPr="00336F6B" w:rsidRDefault="00857B90" w:rsidP="00857B90">
      <w:pPr>
        <w:pStyle w:val="Heading2"/>
      </w:pPr>
      <w:bookmarkStart w:id="63" w:name="_Toc370223473"/>
      <w:bookmarkStart w:id="64" w:name="_Toc370225388"/>
      <w:bookmarkStart w:id="65" w:name="_Toc132711430"/>
      <w:bookmarkStart w:id="66" w:name="_Toc175381450"/>
      <w:bookmarkEnd w:id="61"/>
      <w:bookmarkEnd w:id="62"/>
      <w:r w:rsidRPr="00336F6B">
        <w:t>2.3</w:t>
      </w:r>
      <w:r w:rsidRPr="00336F6B">
        <w:tab/>
        <w:t>Risk management</w:t>
      </w:r>
      <w:bookmarkEnd w:id="63"/>
      <w:bookmarkEnd w:id="64"/>
      <w:bookmarkEnd w:id="65"/>
    </w:p>
    <w:p w14:paraId="5C27219B" w14:textId="77777777" w:rsidR="00857B90" w:rsidRPr="00336F6B" w:rsidRDefault="00857B90" w:rsidP="00857B90">
      <w:r w:rsidRPr="00336F6B">
        <w:t>The risk management options available to FSANZ after assessment, were to either:</w:t>
      </w:r>
    </w:p>
    <w:p w14:paraId="64411425" w14:textId="77777777" w:rsidR="00857B90" w:rsidRPr="00336F6B" w:rsidRDefault="00857B90" w:rsidP="004D0ABD">
      <w:pPr>
        <w:pStyle w:val="FSBullet1"/>
        <w:numPr>
          <w:ilvl w:val="0"/>
          <w:numId w:val="4"/>
        </w:numPr>
        <w:spacing w:before="0" w:after="0"/>
        <w:ind w:left="567" w:hanging="567"/>
      </w:pPr>
      <w:r w:rsidRPr="00336F6B">
        <w:t>reject the application, or</w:t>
      </w:r>
    </w:p>
    <w:p w14:paraId="2FAEAB4E" w14:textId="62ECDD83" w:rsidR="00857B90" w:rsidRPr="00336F6B" w:rsidRDefault="00857B90" w:rsidP="004D0ABD">
      <w:pPr>
        <w:pStyle w:val="FSBullet1"/>
        <w:numPr>
          <w:ilvl w:val="0"/>
          <w:numId w:val="4"/>
        </w:numPr>
        <w:spacing w:before="0" w:after="0"/>
        <w:ind w:left="567" w:hanging="567"/>
      </w:pPr>
      <w:r w:rsidRPr="00336F6B">
        <w:t xml:space="preserve">prepare a draft variation </w:t>
      </w:r>
      <w:r w:rsidR="00F12BDA">
        <w:t>to</w:t>
      </w:r>
      <w:r w:rsidRPr="00336F6B">
        <w:t xml:space="preserve"> the Code.</w:t>
      </w:r>
    </w:p>
    <w:p w14:paraId="5AEE9D56" w14:textId="77777777" w:rsidR="00857B90" w:rsidRPr="00336F6B" w:rsidRDefault="00857B90" w:rsidP="00197592">
      <w:pPr>
        <w:spacing w:before="240"/>
      </w:pPr>
      <w:r w:rsidRPr="00336F6B">
        <w:t>The conclusions from the risk and technical assessment were that the proposed use of the enzyme is technologically justified and there were no safety concerns associated with its proposed use at levels consistent with GMP.</w:t>
      </w:r>
    </w:p>
    <w:p w14:paraId="0F16C975" w14:textId="77777777" w:rsidR="00857B90" w:rsidRPr="00336F6B" w:rsidRDefault="00857B90" w:rsidP="00197592">
      <w:pPr>
        <w:spacing w:before="240"/>
      </w:pPr>
      <w:r w:rsidRPr="00336F6B">
        <w:t>FSANZ therefore considered it appropriate to prepare a draft variation amending the Code to permit the proposed use of this enzyme and called for submissions on the draft variation.</w:t>
      </w:r>
    </w:p>
    <w:p w14:paraId="783B3F7A" w14:textId="77777777" w:rsidR="00857B90" w:rsidRPr="00336F6B" w:rsidRDefault="00857B90" w:rsidP="00197592">
      <w:pPr>
        <w:spacing w:before="240"/>
      </w:pPr>
      <w:r w:rsidRPr="00336F6B">
        <w:t>Following the call for submissions and having regard to all submissions received, for the reasons set out in this report, FSANZ considers it appropriate to approve the draft variation proposed following assessment without change (see Attachment A).</w:t>
      </w:r>
    </w:p>
    <w:p w14:paraId="13FF3172" w14:textId="77777777" w:rsidR="00857B90" w:rsidRPr="00336F6B" w:rsidRDefault="00857B90" w:rsidP="00197592">
      <w:pPr>
        <w:spacing w:before="240"/>
      </w:pPr>
      <w:r w:rsidRPr="00336F6B">
        <w:t>Risk management considerations for this application relating to the enzyme and source microorganism nomenclature, specifications and labelling are discussed below.</w:t>
      </w:r>
    </w:p>
    <w:p w14:paraId="40189B49" w14:textId="4B764ABB" w:rsidR="00857B90" w:rsidRPr="008A16C0" w:rsidRDefault="00857B90" w:rsidP="00857B90">
      <w:pPr>
        <w:pStyle w:val="Heading3"/>
        <w:ind w:left="0" w:firstLine="0"/>
      </w:pPr>
      <w:bookmarkStart w:id="67" w:name="_Toc96085439"/>
      <w:bookmarkStart w:id="68" w:name="_Toc100584100"/>
      <w:bookmarkStart w:id="69" w:name="_Toc110607915"/>
      <w:bookmarkStart w:id="70" w:name="_Toc124343509"/>
      <w:bookmarkStart w:id="71" w:name="_Toc132711431"/>
      <w:r w:rsidRPr="008A16C0">
        <w:t>2.</w:t>
      </w:r>
      <w:r w:rsidR="00C135D1">
        <w:t>3</w:t>
      </w:r>
      <w:r w:rsidRPr="008A16C0">
        <w:t>.1</w:t>
      </w:r>
      <w:r w:rsidRPr="008A16C0">
        <w:tab/>
        <w:t>Regulatory approval for enzymes</w:t>
      </w:r>
      <w:bookmarkEnd w:id="67"/>
      <w:bookmarkEnd w:id="68"/>
      <w:bookmarkEnd w:id="69"/>
      <w:bookmarkEnd w:id="70"/>
      <w:bookmarkEnd w:id="71"/>
    </w:p>
    <w:p w14:paraId="3B1067A4" w14:textId="5E3BF983" w:rsidR="008A16C0" w:rsidRDefault="008A16C0" w:rsidP="008A16C0">
      <w:r w:rsidRPr="73FC1001">
        <w:rPr>
          <w:lang w:eastAsia="en-AU" w:bidi="ar-SA"/>
        </w:rPr>
        <w:t xml:space="preserve">Endo-1,4-beta-xylanase performs its technological purpose during brewing, fats and oils processing, </w:t>
      </w:r>
      <w:r w:rsidRPr="73FC1001">
        <w:rPr>
          <w:lang w:val="en-AU" w:bidi="ar-SA"/>
        </w:rPr>
        <w:t>grain processing and potable alcohol production. The enzyme does not perform a technological purpose in the final food. On that basis, the enzyme function</w:t>
      </w:r>
      <w:r>
        <w:rPr>
          <w:lang w:val="en-AU" w:bidi="ar-SA"/>
        </w:rPr>
        <w:t>s</w:t>
      </w:r>
      <w:r w:rsidRPr="73FC1001">
        <w:rPr>
          <w:lang w:val="en-AU" w:bidi="ar-SA"/>
        </w:rPr>
        <w:t xml:space="preserve"> as a processing aid for the purposes of the Code. Based on the food technology assessment, FSANZ concluded that the proposed use of this enzyme is consistent with its typical function of </w:t>
      </w:r>
      <w:r>
        <w:t xml:space="preserve">hydrolysing </w:t>
      </w:r>
      <w:proofErr w:type="spellStart"/>
      <w:r>
        <w:t>xylosidic</w:t>
      </w:r>
      <w:proofErr w:type="spellEnd"/>
      <w:r>
        <w:t xml:space="preserve"> linkages in </w:t>
      </w:r>
      <w:proofErr w:type="spellStart"/>
      <w:r>
        <w:t>xylans</w:t>
      </w:r>
      <w:proofErr w:type="spellEnd"/>
      <w:r>
        <w:t>, including arabinoxylan present in grains, for further processing.</w:t>
      </w:r>
    </w:p>
    <w:p w14:paraId="7F64D98A" w14:textId="087D824C" w:rsidR="008A16C0" w:rsidRPr="005F38DF" w:rsidRDefault="008A16C0" w:rsidP="008A16C0">
      <w:pPr>
        <w:spacing w:before="240"/>
        <w:rPr>
          <w:lang w:eastAsia="en-AU" w:bidi="ar-SA"/>
        </w:rPr>
      </w:pPr>
      <w:r>
        <w:t xml:space="preserve">The express permission for the enzyme to be used as a processing aid will also provide the permission for its potential presence in the food for sale as a food produced using gene technology. The enzyme is a food produced using gene technology according to the Code as it is derived from ‘an organism that has been modified using gene technology’ (see subsection 1.1.2—2(3) of the </w:t>
      </w:r>
      <w:r w:rsidRPr="002F4ADD">
        <w:t>Code)</w:t>
      </w:r>
      <w:r>
        <w:rPr>
          <w:rStyle w:val="FootnoteReference"/>
        </w:rPr>
        <w:footnoteReference w:id="4"/>
      </w:r>
      <w:r w:rsidRPr="002F4ADD">
        <w:t>.</w:t>
      </w:r>
    </w:p>
    <w:p w14:paraId="400AB44B" w14:textId="56012AB2" w:rsidR="008A16C0" w:rsidRDefault="008A16C0" w:rsidP="008A16C0">
      <w:pPr>
        <w:pStyle w:val="Heading3"/>
      </w:pPr>
      <w:bookmarkStart w:id="72" w:name="_Toc124499003"/>
      <w:bookmarkStart w:id="73" w:name="_Toc132711432"/>
      <w:r>
        <w:t>2.</w:t>
      </w:r>
      <w:r w:rsidR="00C135D1">
        <w:t>3</w:t>
      </w:r>
      <w:r>
        <w:t>.2</w:t>
      </w:r>
      <w:r>
        <w:tab/>
        <w:t>Nomenclature and specifications</w:t>
      </w:r>
      <w:bookmarkEnd w:id="72"/>
      <w:bookmarkEnd w:id="73"/>
    </w:p>
    <w:p w14:paraId="75B37EFA" w14:textId="5E6C238B" w:rsidR="008A16C0" w:rsidRPr="004D2C29" w:rsidRDefault="008A16C0" w:rsidP="008A16C0">
      <w:pPr>
        <w:rPr>
          <w:rFonts w:eastAsia="Calibri" w:cs="Arial"/>
          <w:bCs/>
          <w:szCs w:val="22"/>
          <w:lang w:val="en-AU" w:bidi="ar-SA"/>
        </w:rPr>
      </w:pPr>
      <w:r w:rsidRPr="004D2C29">
        <w:rPr>
          <w:rFonts w:eastAsia="Calibri" w:cs="Arial"/>
          <w:bCs/>
          <w:szCs w:val="22"/>
          <w:lang w:val="en-AU" w:bidi="ar-SA"/>
        </w:rPr>
        <w:t xml:space="preserve">The International Union of Biochemistry and Molecular Biology (IUBMB) uses the accepted name </w:t>
      </w:r>
      <w:r>
        <w:rPr>
          <w:rFonts w:eastAsia="Calibri" w:cs="Arial"/>
          <w:bCs/>
          <w:szCs w:val="22"/>
          <w:lang w:val="en-AU" w:bidi="ar-SA"/>
        </w:rPr>
        <w:t>‘</w:t>
      </w:r>
      <w:r>
        <w:t>endo-1,4</w:t>
      </w:r>
      <w:r w:rsidRPr="000E7DE4">
        <w:t xml:space="preserve"> </w:t>
      </w:r>
      <w:r>
        <w:t>β-xylanase’</w:t>
      </w:r>
      <w:r w:rsidRPr="004D2C29">
        <w:rPr>
          <w:rFonts w:eastAsia="Calibri" w:cs="Arial"/>
          <w:bCs/>
          <w:szCs w:val="22"/>
          <w:lang w:val="en-AU" w:bidi="ar-SA"/>
        </w:rPr>
        <w:t xml:space="preserve">. This is the name used in </w:t>
      </w:r>
      <w:r>
        <w:rPr>
          <w:rFonts w:eastAsia="Calibri" w:cs="Arial"/>
          <w:bCs/>
          <w:szCs w:val="22"/>
          <w:lang w:val="en-AU" w:bidi="ar-SA"/>
        </w:rPr>
        <w:t>some</w:t>
      </w:r>
      <w:r w:rsidRPr="004D2C29">
        <w:rPr>
          <w:rFonts w:eastAsia="Calibri" w:cs="Arial"/>
          <w:bCs/>
          <w:szCs w:val="22"/>
          <w:lang w:val="en-AU" w:bidi="ar-SA"/>
        </w:rPr>
        <w:t xml:space="preserve"> existing permissions in </w:t>
      </w:r>
      <w:r>
        <w:rPr>
          <w:rFonts w:eastAsia="Calibri" w:cs="Arial"/>
          <w:bCs/>
          <w:szCs w:val="22"/>
          <w:lang w:val="en-AU" w:bidi="ar-SA"/>
        </w:rPr>
        <w:t xml:space="preserve">Schedule 18. The name </w:t>
      </w:r>
      <w:r>
        <w:t xml:space="preserve">endo-1,4-beta-xylanase </w:t>
      </w:r>
      <w:r w:rsidRPr="004D2C29">
        <w:rPr>
          <w:rFonts w:eastAsia="Calibri" w:cs="Arial"/>
          <w:bCs/>
          <w:szCs w:val="22"/>
          <w:lang w:val="en-AU" w:bidi="ar-SA"/>
        </w:rPr>
        <w:t>is</w:t>
      </w:r>
      <w:r>
        <w:rPr>
          <w:rFonts w:eastAsia="Calibri" w:cs="Arial"/>
          <w:bCs/>
          <w:szCs w:val="22"/>
          <w:lang w:val="en-AU" w:bidi="ar-SA"/>
        </w:rPr>
        <w:t xml:space="preserve"> used in this report including for the </w:t>
      </w:r>
      <w:r w:rsidR="00333CA1">
        <w:rPr>
          <w:rFonts w:eastAsia="Calibri" w:cs="Arial"/>
          <w:bCs/>
          <w:szCs w:val="22"/>
          <w:lang w:val="en-AU" w:bidi="ar-SA"/>
        </w:rPr>
        <w:t>approved</w:t>
      </w:r>
      <w:r w:rsidR="00333CA1" w:rsidRPr="004D2C29">
        <w:rPr>
          <w:rFonts w:eastAsia="Calibri" w:cs="Arial"/>
          <w:bCs/>
          <w:szCs w:val="22"/>
          <w:lang w:val="en-AU" w:bidi="ar-SA"/>
        </w:rPr>
        <w:t xml:space="preserve"> </w:t>
      </w:r>
      <w:r w:rsidRPr="004D2C29">
        <w:rPr>
          <w:rFonts w:eastAsia="Calibri" w:cs="Arial"/>
          <w:bCs/>
          <w:szCs w:val="22"/>
          <w:lang w:val="en-AU" w:bidi="ar-SA"/>
        </w:rPr>
        <w:t>draft variation</w:t>
      </w:r>
      <w:r>
        <w:rPr>
          <w:rFonts w:eastAsia="Calibri" w:cs="Arial"/>
          <w:bCs/>
          <w:szCs w:val="22"/>
          <w:lang w:val="en-AU" w:bidi="ar-SA"/>
        </w:rPr>
        <w:t xml:space="preserve"> and is consistent with existing permissions in subsection S18</w:t>
      </w:r>
      <w:r w:rsidR="00BC329C">
        <w:t>—</w:t>
      </w:r>
      <w:r>
        <w:rPr>
          <w:rFonts w:eastAsia="Calibri" w:cs="Arial"/>
          <w:bCs/>
          <w:szCs w:val="22"/>
          <w:lang w:val="en-AU" w:bidi="ar-SA"/>
        </w:rPr>
        <w:t>4(5).</w:t>
      </w:r>
    </w:p>
    <w:p w14:paraId="021B45F1" w14:textId="40F0D116" w:rsidR="008A16C0" w:rsidRPr="004D2C29" w:rsidRDefault="008A16C0" w:rsidP="008A16C0">
      <w:pPr>
        <w:spacing w:before="240"/>
        <w:rPr>
          <w:lang w:bidi="ar-SA"/>
        </w:rPr>
      </w:pPr>
      <w:r w:rsidRPr="004D2C29">
        <w:t>Nomenclature for the host and gene donor organisms (</w:t>
      </w:r>
      <w:r>
        <w:rPr>
          <w:i/>
          <w:iCs/>
        </w:rPr>
        <w:t xml:space="preserve">Trichoderma </w:t>
      </w:r>
      <w:proofErr w:type="spellStart"/>
      <w:r>
        <w:rPr>
          <w:i/>
          <w:iCs/>
        </w:rPr>
        <w:t>reesei</w:t>
      </w:r>
      <w:proofErr w:type="spellEnd"/>
      <w:r w:rsidRPr="004D2C29">
        <w:t xml:space="preserve"> and </w:t>
      </w:r>
      <w:proofErr w:type="spellStart"/>
      <w:r w:rsidRPr="00020DEB">
        <w:rPr>
          <w:i/>
          <w:iCs/>
          <w:lang w:bidi="ar-SA"/>
        </w:rPr>
        <w:t>Talaromyces</w:t>
      </w:r>
      <w:proofErr w:type="spellEnd"/>
      <w:r>
        <w:rPr>
          <w:i/>
          <w:iCs/>
          <w:lang w:bidi="ar-SA"/>
        </w:rPr>
        <w:t xml:space="preserve"> </w:t>
      </w:r>
      <w:proofErr w:type="spellStart"/>
      <w:r>
        <w:rPr>
          <w:i/>
          <w:iCs/>
          <w:lang w:bidi="ar-SA"/>
        </w:rPr>
        <w:t>leycettanus</w:t>
      </w:r>
      <w:proofErr w:type="spellEnd"/>
      <w:r w:rsidRPr="004D2C29">
        <w:t xml:space="preserve"> respectively) is in accordance with accepted international norms (see Section 1.2 of this report).</w:t>
      </w:r>
    </w:p>
    <w:p w14:paraId="6B56F19C" w14:textId="08EAD759" w:rsidR="008A16C0" w:rsidRPr="000824D6" w:rsidRDefault="008A16C0" w:rsidP="008A16C0">
      <w:pPr>
        <w:spacing w:before="240"/>
        <w:rPr>
          <w:lang w:eastAsia="en-AU" w:bidi="ar-SA"/>
        </w:rPr>
      </w:pPr>
      <w:r w:rsidRPr="004D2C29">
        <w:rPr>
          <w:lang w:bidi="ar-SA"/>
        </w:rPr>
        <w:lastRenderedPageBreak/>
        <w:t xml:space="preserve">There are relevant identity and purity specifications for the enzyme in two of the primary sources of specifications listed in Schedule 3, namely the JECFA Combined Compendium of Food Additive Specifications and the United States Pharmacopeial Convention Food </w:t>
      </w:r>
      <w:r>
        <w:rPr>
          <w:lang w:bidi="ar-SA"/>
        </w:rPr>
        <w:t>c</w:t>
      </w:r>
      <w:r w:rsidRPr="004D2C29">
        <w:rPr>
          <w:lang w:bidi="ar-SA"/>
        </w:rPr>
        <w:t xml:space="preserve">hemicals </w:t>
      </w:r>
      <w:r>
        <w:rPr>
          <w:lang w:bidi="ar-SA"/>
        </w:rPr>
        <w:t>c</w:t>
      </w:r>
      <w:r w:rsidRPr="004D2C29">
        <w:rPr>
          <w:lang w:bidi="ar-SA"/>
        </w:rPr>
        <w:t>odex (</w:t>
      </w:r>
      <w:r>
        <w:rPr>
          <w:lang w:bidi="ar-SA"/>
        </w:rPr>
        <w:t>see</w:t>
      </w:r>
      <w:r w:rsidRPr="004D2C29">
        <w:rPr>
          <w:lang w:bidi="ar-SA"/>
        </w:rPr>
        <w:t xml:space="preserve"> Section 1.3.2).</w:t>
      </w:r>
    </w:p>
    <w:p w14:paraId="154FD681" w14:textId="34FC56F9" w:rsidR="00857B90" w:rsidRPr="008A16C0" w:rsidRDefault="00857B90" w:rsidP="00857B90">
      <w:pPr>
        <w:pStyle w:val="Heading3"/>
      </w:pPr>
      <w:bookmarkStart w:id="74" w:name="_Toc96085441"/>
      <w:bookmarkStart w:id="75" w:name="_Toc100584102"/>
      <w:bookmarkStart w:id="76" w:name="_Toc110607917"/>
      <w:bookmarkStart w:id="77" w:name="_Toc124343511"/>
      <w:bookmarkStart w:id="78" w:name="_Toc132711433"/>
      <w:r w:rsidRPr="008A16C0">
        <w:t>2.</w:t>
      </w:r>
      <w:r w:rsidR="00E72610">
        <w:t>3</w:t>
      </w:r>
      <w:r w:rsidRPr="008A16C0">
        <w:t>.3</w:t>
      </w:r>
      <w:r w:rsidRPr="008A16C0">
        <w:tab/>
        <w:t>Labelling</w:t>
      </w:r>
      <w:bookmarkEnd w:id="74"/>
      <w:bookmarkEnd w:id="75"/>
      <w:bookmarkEnd w:id="76"/>
      <w:bookmarkEnd w:id="77"/>
      <w:bookmarkEnd w:id="78"/>
    </w:p>
    <w:p w14:paraId="32E4E177" w14:textId="77777777" w:rsidR="00857B90" w:rsidRPr="008A16C0" w:rsidRDefault="00857B90" w:rsidP="00857B90">
      <w:bookmarkStart w:id="79" w:name="_Toc110607918"/>
      <w:r w:rsidRPr="008A16C0">
        <w:t>The labelling provisions in the Code will apply to foods for sale that are manufactured using this processing aid. See Section 1.3.3 above.</w:t>
      </w:r>
    </w:p>
    <w:p w14:paraId="11AA5A77" w14:textId="0E013D69" w:rsidR="00857B90" w:rsidRPr="008A16C0" w:rsidRDefault="00857B90" w:rsidP="00857B90">
      <w:pPr>
        <w:pStyle w:val="Heading3"/>
      </w:pPr>
      <w:bookmarkStart w:id="80" w:name="_Toc124343512"/>
      <w:bookmarkStart w:id="81" w:name="_Toc132711434"/>
      <w:r w:rsidRPr="008A16C0">
        <w:t>2.</w:t>
      </w:r>
      <w:r w:rsidR="00C135D1">
        <w:t>3</w:t>
      </w:r>
      <w:r w:rsidRPr="008A16C0">
        <w:t>.4</w:t>
      </w:r>
      <w:r w:rsidRPr="008A16C0">
        <w:tab/>
        <w:t>Risk management conclusion</w:t>
      </w:r>
      <w:bookmarkEnd w:id="79"/>
      <w:bookmarkEnd w:id="80"/>
      <w:bookmarkEnd w:id="81"/>
    </w:p>
    <w:p w14:paraId="51B5640B" w14:textId="522CD597" w:rsidR="008A16C0" w:rsidRDefault="008A16C0" w:rsidP="008A16C0">
      <w:r>
        <w:t xml:space="preserve">The risk management conclusion is to permit the enzyme endo-1,4-beta-xylanase (EC 3.2.1.8) sourced from a GM strain of </w:t>
      </w:r>
      <w:r>
        <w:rPr>
          <w:i/>
          <w:iCs/>
        </w:rPr>
        <w:t xml:space="preserve">T. </w:t>
      </w:r>
      <w:proofErr w:type="spellStart"/>
      <w:r>
        <w:rPr>
          <w:i/>
          <w:iCs/>
        </w:rPr>
        <w:t>reesei</w:t>
      </w:r>
      <w:proofErr w:type="spellEnd"/>
      <w:r w:rsidRPr="03F7F7D6">
        <w:rPr>
          <w:i/>
          <w:iCs/>
        </w:rPr>
        <w:t xml:space="preserve"> </w:t>
      </w:r>
      <w:r>
        <w:t xml:space="preserve">containing the endo-1,4-beta-xylanase gene from </w:t>
      </w:r>
      <w:r w:rsidRPr="31AD5620">
        <w:rPr>
          <w:i/>
          <w:iCs/>
        </w:rPr>
        <w:t>T</w:t>
      </w:r>
      <w:r>
        <w:rPr>
          <w:i/>
          <w:iCs/>
        </w:rPr>
        <w:t xml:space="preserve">. </w:t>
      </w:r>
      <w:proofErr w:type="spellStart"/>
      <w:r>
        <w:rPr>
          <w:i/>
          <w:iCs/>
          <w:lang w:bidi="ar-SA"/>
        </w:rPr>
        <w:t>leycettanus</w:t>
      </w:r>
      <w:proofErr w:type="spellEnd"/>
      <w:r>
        <w:rPr>
          <w:i/>
          <w:iCs/>
        </w:rPr>
        <w:t xml:space="preserve"> </w:t>
      </w:r>
      <w:r>
        <w:t>for use as a food processing aid</w:t>
      </w:r>
      <w:r>
        <w:rPr>
          <w:lang w:val="en-AU" w:bidi="ar-SA"/>
        </w:rPr>
        <w:t>. T</w:t>
      </w:r>
      <w:r>
        <w:t xml:space="preserve">he permission will be listed in the table to subsection S18—9(3) of the Code, which includes enzymes permitted for a specific technological purpose. The technological purpose of this enzyme </w:t>
      </w:r>
      <w:r w:rsidR="006D5BB3">
        <w:t>will</w:t>
      </w:r>
      <w:r>
        <w:t xml:space="preserve"> be </w:t>
      </w:r>
      <w:r w:rsidR="00000A8F">
        <w:t xml:space="preserve">for use </w:t>
      </w:r>
      <w:r>
        <w:t xml:space="preserve">as a processing aid in </w:t>
      </w:r>
      <w:r>
        <w:rPr>
          <w:lang w:eastAsia="en-AU" w:bidi="ar-SA"/>
        </w:rPr>
        <w:t xml:space="preserve">brewing, fats and oils </w:t>
      </w:r>
      <w:r w:rsidRPr="009F5768">
        <w:rPr>
          <w:lang w:val="en-AU" w:bidi="ar-SA"/>
        </w:rPr>
        <w:t xml:space="preserve">processing, </w:t>
      </w:r>
      <w:r>
        <w:rPr>
          <w:lang w:val="en-AU" w:bidi="ar-SA"/>
        </w:rPr>
        <w:t xml:space="preserve">grain processing and </w:t>
      </w:r>
      <w:r w:rsidRPr="009F5768">
        <w:rPr>
          <w:lang w:val="en-AU" w:bidi="ar-SA"/>
        </w:rPr>
        <w:t>potable alcohol production</w:t>
      </w:r>
      <w:r>
        <w:t xml:space="preserve">. The maximum level at which the enzyme may be present in the food </w:t>
      </w:r>
      <w:r w:rsidR="00BF27E7">
        <w:t>will have to</w:t>
      </w:r>
      <w:r>
        <w:t xml:space="preserve"> be an amount consistent with GMP. The express permission for the enzyme to be used as a processing aid in Schedule 18 of the Code would also provide the permission for the enzyme’s potential presence in the food for sale as a food produced using gene technology.</w:t>
      </w:r>
    </w:p>
    <w:p w14:paraId="47377CB3" w14:textId="77777777" w:rsidR="00857B90" w:rsidRPr="006D5BB3" w:rsidRDefault="00857B90" w:rsidP="00857B90">
      <w:pPr>
        <w:pStyle w:val="Heading2"/>
      </w:pPr>
      <w:bookmarkStart w:id="82" w:name="_Toc309291814"/>
      <w:bookmarkStart w:id="83" w:name="_Toc370225389"/>
      <w:bookmarkStart w:id="84" w:name="_Toc132711435"/>
      <w:bookmarkStart w:id="85" w:name="_Toc286391012"/>
      <w:bookmarkEnd w:id="66"/>
      <w:r w:rsidRPr="006D5BB3">
        <w:t>2.4</w:t>
      </w:r>
      <w:r w:rsidRPr="006D5BB3">
        <w:tab/>
        <w:t>Risk communication</w:t>
      </w:r>
      <w:bookmarkEnd w:id="82"/>
      <w:bookmarkEnd w:id="83"/>
      <w:bookmarkEnd w:id="84"/>
    </w:p>
    <w:p w14:paraId="36B7C84D" w14:textId="77777777" w:rsidR="00857B90" w:rsidRPr="006D5BB3" w:rsidRDefault="00857B90" w:rsidP="00857B90">
      <w:pPr>
        <w:pStyle w:val="Heading3"/>
      </w:pPr>
      <w:bookmarkStart w:id="86" w:name="_Toc300933437"/>
      <w:bookmarkStart w:id="87" w:name="_Toc370223475"/>
      <w:bookmarkStart w:id="88" w:name="_Toc370225390"/>
      <w:bookmarkStart w:id="89" w:name="_Toc132711436"/>
      <w:r w:rsidRPr="006D5BB3">
        <w:t>2.4.1</w:t>
      </w:r>
      <w:r w:rsidRPr="006D5BB3">
        <w:tab/>
        <w:t>Consultation</w:t>
      </w:r>
      <w:bookmarkEnd w:id="86"/>
      <w:bookmarkEnd w:id="87"/>
      <w:bookmarkEnd w:id="88"/>
      <w:bookmarkEnd w:id="89"/>
    </w:p>
    <w:p w14:paraId="438C13AE" w14:textId="4F39EC3B" w:rsidR="00857B90" w:rsidRPr="006D5BB3" w:rsidRDefault="00857B90" w:rsidP="00857B90">
      <w:r w:rsidRPr="006D5BB3">
        <w:rPr>
          <w:szCs w:val="22"/>
        </w:rPr>
        <w:t xml:space="preserve">Consultation is a key part of FSANZ’s standards development process. </w:t>
      </w:r>
      <w:r w:rsidRPr="006D5BB3">
        <w:t xml:space="preserve">FSANZ developed and applied a standard communication strategy to this application. All calls for submissions are notified via the Food Standards Notification Circular, media release, FSANZ’s social media </w:t>
      </w:r>
      <w:r w:rsidR="00837959">
        <w:t>channels</w:t>
      </w:r>
      <w:r w:rsidR="00837959" w:rsidRPr="006D5BB3">
        <w:t xml:space="preserve"> </w:t>
      </w:r>
      <w:r w:rsidRPr="006D5BB3">
        <w:t>and Food Standards News.</w:t>
      </w:r>
    </w:p>
    <w:p w14:paraId="6FDBCEA7" w14:textId="6123C2EA" w:rsidR="00857B90" w:rsidRPr="006D5BB3" w:rsidRDefault="00857B90" w:rsidP="00857B90">
      <w:pPr>
        <w:rPr>
          <w:szCs w:val="22"/>
        </w:rPr>
      </w:pPr>
      <w:r w:rsidRPr="006D5BB3">
        <w:t>The process by which FSANZ considers standards development matters is open, accountable, consultative and transparent. Public submissions were called to assist consideration of the draft variation to the Code. FSANZ ackn</w:t>
      </w:r>
      <w:r w:rsidRPr="006D5BB3">
        <w:rPr>
          <w:szCs w:val="22"/>
        </w:rPr>
        <w:t>owledges the time taken by individuals and organisations to make submissions on this application.</w:t>
      </w:r>
    </w:p>
    <w:p w14:paraId="5E93D1B4" w14:textId="77777777" w:rsidR="00857B90" w:rsidRPr="006D5BB3" w:rsidRDefault="00857B90" w:rsidP="00857B90">
      <w:pPr>
        <w:rPr>
          <w:szCs w:val="22"/>
        </w:rPr>
      </w:pPr>
      <w:r w:rsidRPr="006D5BB3">
        <w:rPr>
          <w:szCs w:val="22"/>
        </w:rPr>
        <w:t>The draft variation was considered for approval by the FSANZ Board having regard to all submissions made during the call for submissions period.</w:t>
      </w:r>
    </w:p>
    <w:p w14:paraId="67E0DC1A" w14:textId="77777777" w:rsidR="00857B90" w:rsidRPr="006D5BB3" w:rsidRDefault="00857B90" w:rsidP="00857B90">
      <w:pPr>
        <w:pStyle w:val="Heading2"/>
      </w:pPr>
      <w:bookmarkStart w:id="90" w:name="_Toc370223477"/>
      <w:bookmarkStart w:id="91" w:name="_Toc370225392"/>
      <w:bookmarkStart w:id="92" w:name="_Toc132711437"/>
      <w:bookmarkStart w:id="93" w:name="_Toc309291816"/>
      <w:bookmarkStart w:id="94" w:name="_Toc300933448"/>
      <w:bookmarkStart w:id="95" w:name="_Toc300933577"/>
      <w:bookmarkStart w:id="96" w:name="_Toc301535601"/>
      <w:bookmarkStart w:id="97" w:name="_Toc309385464"/>
      <w:bookmarkStart w:id="98" w:name="_Toc175381456"/>
      <w:bookmarkEnd w:id="41"/>
      <w:bookmarkEnd w:id="42"/>
      <w:bookmarkEnd w:id="43"/>
      <w:bookmarkEnd w:id="44"/>
      <w:bookmarkEnd w:id="45"/>
      <w:bookmarkEnd w:id="46"/>
      <w:bookmarkEnd w:id="85"/>
      <w:r w:rsidRPr="006D5BB3">
        <w:t>2.5</w:t>
      </w:r>
      <w:r w:rsidRPr="006D5BB3">
        <w:tab/>
        <w:t>FSANZ Act assessment requirements</w:t>
      </w:r>
      <w:bookmarkEnd w:id="90"/>
      <w:bookmarkEnd w:id="91"/>
      <w:bookmarkEnd w:id="92"/>
    </w:p>
    <w:p w14:paraId="3868B8FF" w14:textId="77777777" w:rsidR="00857B90" w:rsidRPr="006D5BB3" w:rsidRDefault="00857B90" w:rsidP="00857B90">
      <w:r w:rsidRPr="006D5BB3">
        <w:t>When assessing this application and the subsequent development of a food regulatory measure, FSANZ had regard to the following matters in section 29 of the FSANZ Act.</w:t>
      </w:r>
    </w:p>
    <w:p w14:paraId="248DE987" w14:textId="77777777" w:rsidR="00857B90" w:rsidRPr="006D5BB3" w:rsidRDefault="00857B90" w:rsidP="00857B90">
      <w:pPr>
        <w:pStyle w:val="Heading3"/>
      </w:pPr>
      <w:bookmarkStart w:id="99" w:name="_Toc370223478"/>
      <w:bookmarkStart w:id="100" w:name="_Toc370225393"/>
      <w:bookmarkStart w:id="101" w:name="_Toc132711438"/>
      <w:bookmarkEnd w:id="93"/>
      <w:bookmarkEnd w:id="94"/>
      <w:bookmarkEnd w:id="95"/>
      <w:bookmarkEnd w:id="96"/>
      <w:bookmarkEnd w:id="97"/>
      <w:r w:rsidRPr="006D5BB3">
        <w:t>2.5.1</w:t>
      </w:r>
      <w:r w:rsidRPr="006D5BB3">
        <w:tab/>
        <w:t>Section 29</w:t>
      </w:r>
      <w:bookmarkEnd w:id="99"/>
      <w:bookmarkEnd w:id="100"/>
      <w:bookmarkEnd w:id="101"/>
    </w:p>
    <w:p w14:paraId="7344A02E" w14:textId="77777777" w:rsidR="00857B90" w:rsidRPr="006D5BB3" w:rsidRDefault="00857B90" w:rsidP="00857B90">
      <w:pPr>
        <w:pStyle w:val="Heading4"/>
      </w:pPr>
      <w:r w:rsidRPr="006D5BB3">
        <w:t>2.5.1.1</w:t>
      </w:r>
      <w:r w:rsidRPr="006D5BB3">
        <w:tab/>
        <w:t>Consideration of costs and benefits</w:t>
      </w:r>
    </w:p>
    <w:p w14:paraId="2AC1F122" w14:textId="77777777" w:rsidR="00857B90" w:rsidRPr="006D5BB3" w:rsidRDefault="00857B90" w:rsidP="00857B90">
      <w:r w:rsidRPr="006D5BB3">
        <w:rPr>
          <w:lang w:bidi="ar-SA"/>
        </w:rPr>
        <w:t>The Office of Impact Analysis (OIA)</w:t>
      </w:r>
      <w:r w:rsidRPr="006D5BB3">
        <w:rPr>
          <w:rStyle w:val="FootnoteReference"/>
          <w:lang w:bidi="ar-SA"/>
        </w:rPr>
        <w:footnoteReference w:id="5"/>
      </w:r>
      <w:r w:rsidRPr="006D5BB3">
        <w:rPr>
          <w:lang w:bidi="ar-SA"/>
        </w:rPr>
        <w:t xml:space="preserve"> </w:t>
      </w:r>
      <w:r w:rsidRPr="006D5BB3">
        <w:t xml:space="preserve">granted FSANZ a standing exemption from the requirement to develop a Regulatory Impact Statement for applications relating to processing aids and genetically modified foods (OIA correspondence dated 24 November 2010, </w:t>
      </w:r>
      <w:r w:rsidRPr="006D5BB3">
        <w:lastRenderedPageBreak/>
        <w:t>reference 12065). This standing exemption was provided as permitting new GM foods and new processing aids is deregulatory as their use will be voluntary if the application concerned is approved. This standing exemption relates to the introduction of a food to the food supply that has been determined to be safe.</w:t>
      </w:r>
    </w:p>
    <w:p w14:paraId="6D4C78E5" w14:textId="77777777" w:rsidR="00857B90" w:rsidRPr="006D5BB3" w:rsidRDefault="00857B90" w:rsidP="00857B90">
      <w:r w:rsidRPr="006D5BB3">
        <w:t>FSANZ, however, gave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w:t>
      </w:r>
    </w:p>
    <w:p w14:paraId="29C6D756" w14:textId="1C6EEBFB" w:rsidR="00857B90" w:rsidRPr="00857B90" w:rsidRDefault="00857B90" w:rsidP="00857B90">
      <w:pPr>
        <w:rPr>
          <w:highlight w:val="yellow"/>
        </w:rPr>
      </w:pPr>
      <w:r w:rsidRPr="006D5BB3">
        <w:t xml:space="preserve">The purpose of this consideration was to determine if the community, government and industry as a whole is likely to benefit, on balance, from a move from the status quo. </w:t>
      </w:r>
      <w:r w:rsidR="006D5BB3" w:rsidRPr="006D5BB3">
        <w:t>This</w:t>
      </w:r>
      <w:r w:rsidR="006D5BB3">
        <w:t xml:space="preserve"> analysis considers permitting the use of the enzyme endo</w:t>
      </w:r>
      <w:r w:rsidR="006D5BB3">
        <w:noBreakHyphen/>
        <w:t>1,4</w:t>
      </w:r>
      <w:r w:rsidR="006D5BB3">
        <w:noBreakHyphen/>
        <w:t>beta</w:t>
      </w:r>
      <w:r w:rsidR="006D5BB3">
        <w:noBreakHyphen/>
        <w:t xml:space="preserve">xylanase, sourced from the GM strain of </w:t>
      </w:r>
      <w:r w:rsidR="006D5BB3">
        <w:rPr>
          <w:i/>
          <w:iCs/>
        </w:rPr>
        <w:t xml:space="preserve">T. </w:t>
      </w:r>
      <w:proofErr w:type="spellStart"/>
      <w:r w:rsidR="006D5BB3">
        <w:rPr>
          <w:i/>
          <w:iCs/>
        </w:rPr>
        <w:t>reesei</w:t>
      </w:r>
      <w:proofErr w:type="spellEnd"/>
      <w:r w:rsidR="006D5BB3">
        <w:t xml:space="preserve"> for use in brewing, fats and oils processing, </w:t>
      </w:r>
      <w:r w:rsidR="006D5BB3" w:rsidRPr="001912D7">
        <w:t>grains</w:t>
      </w:r>
      <w:r w:rsidR="006D5BB3">
        <w:t xml:space="preserve"> processing, and </w:t>
      </w:r>
      <w:r w:rsidR="006D5BB3" w:rsidRPr="001912D7">
        <w:t>potable alcohol production.</w:t>
      </w:r>
    </w:p>
    <w:p w14:paraId="4C3FD8AE" w14:textId="0EA8502A" w:rsidR="00857B90" w:rsidRPr="00857B90" w:rsidRDefault="00857B90" w:rsidP="00857B90">
      <w:pPr>
        <w:rPr>
          <w:color w:val="000000" w:themeColor="text1"/>
          <w:highlight w:val="yellow"/>
          <w:lang w:bidi="ar-SA"/>
        </w:rPr>
      </w:pPr>
      <w:r w:rsidRPr="006D5BB3">
        <w:rPr>
          <w:color w:val="000000" w:themeColor="text1"/>
          <w:lang w:bidi="ar-SA"/>
        </w:rPr>
        <w:t xml:space="preserve">The consideration of the costs and benefits in this section is not intended to be an exhaustive, quantitative economic analysis of the proposed measure. In fact, most of the effects that were considered cannot easily be assigned a dollar value. Rather, the assessment sought to highlight the likely positives and negatives of moving away from the status quo by permitting the proposed use of the enzyme </w:t>
      </w:r>
      <w:r w:rsidR="006D5BB3" w:rsidRPr="006D5BB3">
        <w:t>endo</w:t>
      </w:r>
      <w:r w:rsidR="006D5BB3" w:rsidRPr="006D5BB3">
        <w:noBreakHyphen/>
        <w:t>1,4</w:t>
      </w:r>
      <w:r w:rsidR="006D5BB3" w:rsidRPr="006D5BB3">
        <w:noBreakHyphen/>
        <w:t>beta</w:t>
      </w:r>
      <w:r w:rsidR="006D5BB3" w:rsidRPr="006D5BB3">
        <w:noBreakHyphen/>
        <w:t>xylanase enzyme</w:t>
      </w:r>
      <w:r w:rsidR="006D5BB3">
        <w:t xml:space="preserve"> sourced from the GM strain of </w:t>
      </w:r>
      <w:r w:rsidR="006D5BB3" w:rsidRPr="40C85502">
        <w:rPr>
          <w:i/>
          <w:iCs/>
        </w:rPr>
        <w:t xml:space="preserve">T. </w:t>
      </w:r>
      <w:proofErr w:type="spellStart"/>
      <w:r w:rsidR="006D5BB3" w:rsidRPr="40C85502">
        <w:rPr>
          <w:i/>
          <w:iCs/>
        </w:rPr>
        <w:t>reesei</w:t>
      </w:r>
      <w:proofErr w:type="spellEnd"/>
      <w:r w:rsidR="006D5BB3" w:rsidRPr="40C85502">
        <w:rPr>
          <w:i/>
          <w:iCs/>
        </w:rPr>
        <w:t>.</w:t>
      </w:r>
    </w:p>
    <w:p w14:paraId="48686E44" w14:textId="77777777" w:rsidR="00857B90" w:rsidRPr="006D5BB3" w:rsidRDefault="00857B90" w:rsidP="00857B90">
      <w:pPr>
        <w:rPr>
          <w:color w:val="000000" w:themeColor="text1"/>
          <w:lang w:bidi="ar-SA"/>
        </w:rPr>
      </w:pPr>
      <w:r w:rsidRPr="006D5BB3">
        <w:rPr>
          <w:color w:val="000000" w:themeColor="text1"/>
          <w:lang w:bidi="ar-SA"/>
        </w:rPr>
        <w:t>FSANZ’s conclusions regarding costs and benefits of the proposed measure are set out below.</w:t>
      </w:r>
    </w:p>
    <w:p w14:paraId="695B057C" w14:textId="512DAA40" w:rsidR="00857B90" w:rsidRPr="00857B90" w:rsidRDefault="00857B90" w:rsidP="00857B90">
      <w:pPr>
        <w:pStyle w:val="FSFigureTitle"/>
        <w:rPr>
          <w:i w:val="0"/>
          <w:color w:val="000000" w:themeColor="text1"/>
          <w:highlight w:val="yellow"/>
        </w:rPr>
      </w:pPr>
      <w:r w:rsidRPr="00101C42">
        <w:rPr>
          <w:rStyle w:val="Heading5Char"/>
          <w:i/>
          <w:iCs/>
          <w:color w:val="000000" w:themeColor="text1"/>
        </w:rPr>
        <w:t xml:space="preserve">Costs and benefits of permitting </w:t>
      </w:r>
      <w:r w:rsidRPr="00101C42">
        <w:rPr>
          <w:color w:val="000000" w:themeColor="text1"/>
        </w:rPr>
        <w:t xml:space="preserve">the use of </w:t>
      </w:r>
      <w:r w:rsidR="00101C42" w:rsidRPr="00101C42">
        <w:t>endo-1,4-beta-xylanase enzyme sourced from the</w:t>
      </w:r>
      <w:r w:rsidR="00101C42">
        <w:t xml:space="preserve"> GM strain of </w:t>
      </w:r>
      <w:r w:rsidR="00101C42" w:rsidRPr="00640386">
        <w:rPr>
          <w:i w:val="0"/>
          <w:iCs/>
        </w:rPr>
        <w:t xml:space="preserve">T. </w:t>
      </w:r>
      <w:proofErr w:type="spellStart"/>
      <w:r w:rsidR="00101C42" w:rsidRPr="00640386">
        <w:rPr>
          <w:i w:val="0"/>
          <w:iCs/>
        </w:rPr>
        <w:t>reesei</w:t>
      </w:r>
      <w:proofErr w:type="spellEnd"/>
      <w:r w:rsidR="00101C42">
        <w:t xml:space="preserve"> </w:t>
      </w:r>
      <w:r w:rsidR="00101C42" w:rsidRPr="081F9A70">
        <w:t>as a processing aid</w:t>
      </w:r>
    </w:p>
    <w:p w14:paraId="63EE5DA1" w14:textId="77777777" w:rsidR="00857B90" w:rsidRPr="00101C42" w:rsidRDefault="00857B90" w:rsidP="00857B90">
      <w:pPr>
        <w:rPr>
          <w:rFonts w:eastAsia="Calibri"/>
          <w:i/>
          <w:color w:val="000000" w:themeColor="text1"/>
          <w:lang w:eastAsia="en-AU"/>
        </w:rPr>
      </w:pPr>
      <w:r w:rsidRPr="00101C42">
        <w:rPr>
          <w:rFonts w:eastAsia="Calibri"/>
          <w:i/>
          <w:color w:val="000000" w:themeColor="text1"/>
          <w:lang w:eastAsia="en-AU"/>
        </w:rPr>
        <w:t>Industry</w:t>
      </w:r>
    </w:p>
    <w:p w14:paraId="4A8AE5CB" w14:textId="195177E5" w:rsidR="00857B90" w:rsidRDefault="00857B90" w:rsidP="00857B90">
      <w:pPr>
        <w:rPr>
          <w:rFonts w:eastAsia="Arial" w:cs="Arial"/>
          <w:szCs w:val="22"/>
        </w:rPr>
      </w:pPr>
      <w:r w:rsidRPr="00101C42">
        <w:rPr>
          <w:rFonts w:eastAsia="Arial" w:cs="Arial"/>
          <w:szCs w:val="22"/>
        </w:rPr>
        <w:t xml:space="preserve">Due to the voluntary nature of the permission, industry will only use the enzyme where they believe a net benefit exists for them. Industry may benefit from having additional choice available to them </w:t>
      </w:r>
      <w:r w:rsidR="00101C42" w:rsidRPr="00101C42">
        <w:rPr>
          <w:rFonts w:eastAsia="Arial" w:cs="Arial"/>
          <w:szCs w:val="22"/>
        </w:rPr>
        <w:t xml:space="preserve">for </w:t>
      </w:r>
      <w:r w:rsidR="00101C42" w:rsidRPr="00101C42">
        <w:t>brewing, fats and oils and grains processing, and potable alcohol production</w:t>
      </w:r>
      <w:r w:rsidRPr="00101C42">
        <w:rPr>
          <w:rFonts w:eastAsia="Arial" w:cs="Arial"/>
          <w:szCs w:val="22"/>
        </w:rPr>
        <w:t>.</w:t>
      </w:r>
    </w:p>
    <w:p w14:paraId="470B791E" w14:textId="5EA7F4F7" w:rsidR="00101C42" w:rsidRDefault="00101C42" w:rsidP="00101C42">
      <w:pPr>
        <w:spacing w:before="240"/>
      </w:pPr>
      <w:r>
        <w:t xml:space="preserve">The enzyme is approved in other countries </w:t>
      </w:r>
      <w:r w:rsidRPr="29106825">
        <w:rPr>
          <w:rFonts w:eastAsia="Arial" w:cs="Arial"/>
          <w:color w:val="000000" w:themeColor="text1"/>
          <w:szCs w:val="22"/>
        </w:rPr>
        <w:t xml:space="preserve">including Brazil, Denmark, and Mexico, </w:t>
      </w:r>
      <w:r>
        <w:t>which may be an opportunity for Australia and New Zealand industries, although there may be competing imports from these countries into the domestic market.</w:t>
      </w:r>
    </w:p>
    <w:p w14:paraId="4D9E83B2" w14:textId="77777777" w:rsidR="00857B90" w:rsidRPr="00101C42" w:rsidRDefault="00857B90" w:rsidP="00857B90">
      <w:pPr>
        <w:rPr>
          <w:i/>
          <w:color w:val="000000" w:themeColor="text1"/>
          <w:lang w:bidi="ar-SA"/>
        </w:rPr>
      </w:pPr>
      <w:r w:rsidRPr="00101C42">
        <w:rPr>
          <w:i/>
          <w:color w:val="000000" w:themeColor="text1"/>
          <w:lang w:bidi="ar-SA"/>
        </w:rPr>
        <w:t>Consumers</w:t>
      </w:r>
    </w:p>
    <w:p w14:paraId="479E7315" w14:textId="77777777" w:rsidR="00101C42" w:rsidRDefault="00101C42" w:rsidP="00101C42">
      <w:pPr>
        <w:spacing w:before="240"/>
      </w:pPr>
      <w:r>
        <w:t>Consumers may benefit from a greater availability of foods. Industry may pass on some of any cost reductions onto consumers through lower prices.</w:t>
      </w:r>
    </w:p>
    <w:p w14:paraId="0ED8C984" w14:textId="77777777" w:rsidR="00857B90" w:rsidRPr="00101C42" w:rsidRDefault="00857B90" w:rsidP="00857B90">
      <w:pPr>
        <w:keepNext/>
        <w:rPr>
          <w:i/>
          <w:lang w:bidi="ar-SA"/>
        </w:rPr>
      </w:pPr>
      <w:r w:rsidRPr="00101C42">
        <w:rPr>
          <w:i/>
          <w:lang w:bidi="ar-SA"/>
        </w:rPr>
        <w:t>Government</w:t>
      </w:r>
    </w:p>
    <w:p w14:paraId="7C1BAEDB" w14:textId="009E9432" w:rsidR="00101C42" w:rsidRDefault="00101C42" w:rsidP="00101C42">
      <w:pPr>
        <w:spacing w:before="240"/>
      </w:pPr>
      <w:r>
        <w:t xml:space="preserve">Permitting the proposed use of this </w:t>
      </w:r>
      <w:r w:rsidRPr="7805CA24">
        <w:rPr>
          <w:rFonts w:cs="Arial"/>
        </w:rPr>
        <w:t>endo-1,4-beta-xylanase</w:t>
      </w:r>
      <w:r>
        <w:t xml:space="preserve"> enzyme may result in a small and inconsequential cost to government in terms of adding it to the current range of processing aids </w:t>
      </w:r>
      <w:r w:rsidRPr="7805CA24">
        <w:rPr>
          <w:rFonts w:eastAsia="Arial" w:cs="Arial"/>
        </w:rPr>
        <w:t>that are monitored for compliance.</w:t>
      </w:r>
    </w:p>
    <w:p w14:paraId="761CB2BB" w14:textId="77777777" w:rsidR="00857B90" w:rsidRPr="00101C42" w:rsidRDefault="00857B90" w:rsidP="00857B90">
      <w:pPr>
        <w:rPr>
          <w:i/>
          <w:color w:val="000000" w:themeColor="text1"/>
        </w:rPr>
      </w:pPr>
      <w:r w:rsidRPr="00101C42">
        <w:rPr>
          <w:i/>
          <w:color w:val="000000" w:themeColor="text1"/>
        </w:rPr>
        <w:t>Conclusions from cost benefit considerations</w:t>
      </w:r>
    </w:p>
    <w:p w14:paraId="4601A280" w14:textId="42A0EA03" w:rsidR="00857B90" w:rsidRPr="00AC3A23" w:rsidRDefault="00857B90" w:rsidP="00857B90">
      <w:r w:rsidRPr="00101C42">
        <w:rPr>
          <w:color w:val="000000" w:themeColor="text1"/>
          <w:lang w:bidi="ar-SA"/>
        </w:rPr>
        <w:t xml:space="preserve">FSANZ’s assessment is that the direct and indirect benefits that would arise from permitting the proposed use of </w:t>
      </w:r>
      <w:r w:rsidRPr="00101C42">
        <w:rPr>
          <w:color w:val="000000" w:themeColor="text1"/>
        </w:rPr>
        <w:t xml:space="preserve">the enzyme </w:t>
      </w:r>
      <w:r w:rsidR="00101C42" w:rsidRPr="00101C42">
        <w:rPr>
          <w:rFonts w:cs="Arial"/>
        </w:rPr>
        <w:t>endo-1,4-beta-xylanase</w:t>
      </w:r>
      <w:r w:rsidR="00101C42" w:rsidRPr="00101C42">
        <w:t xml:space="preserve"> </w:t>
      </w:r>
      <w:r w:rsidRPr="00101C42">
        <w:rPr>
          <w:color w:val="000000" w:themeColor="text1"/>
          <w:lang w:bidi="ar-SA"/>
        </w:rPr>
        <w:t xml:space="preserve">from GM </w:t>
      </w:r>
      <w:r w:rsidR="00101C42" w:rsidRPr="00101C42">
        <w:rPr>
          <w:i/>
        </w:rPr>
        <w:t xml:space="preserve">T. </w:t>
      </w:r>
      <w:proofErr w:type="spellStart"/>
      <w:r w:rsidR="00101C42" w:rsidRPr="00101C42">
        <w:rPr>
          <w:i/>
        </w:rPr>
        <w:t>reesei</w:t>
      </w:r>
      <w:proofErr w:type="spellEnd"/>
      <w:r w:rsidRPr="00101C42">
        <w:rPr>
          <w:color w:val="000000" w:themeColor="text1"/>
          <w:lang w:bidi="ar-SA"/>
        </w:rPr>
        <w:t xml:space="preserve"> (as a processing aid in </w:t>
      </w:r>
      <w:r w:rsidR="00101C42" w:rsidRPr="00101C42">
        <w:t>brewing, fats and oils processing, grains processing, and potable alcohol production</w:t>
      </w:r>
      <w:r w:rsidRPr="00101C42">
        <w:rPr>
          <w:color w:val="000000" w:themeColor="text1"/>
        </w:rPr>
        <w:t xml:space="preserve">) </w:t>
      </w:r>
      <w:r w:rsidRPr="00101C42">
        <w:rPr>
          <w:color w:val="000000" w:themeColor="text1"/>
          <w:lang w:bidi="ar-SA"/>
        </w:rPr>
        <w:t>most likely outweigh the associated costs.</w:t>
      </w:r>
      <w:r w:rsidR="00E72B1E">
        <w:rPr>
          <w:color w:val="000000" w:themeColor="text1"/>
          <w:lang w:bidi="ar-SA"/>
        </w:rPr>
        <w:t xml:space="preserve"> </w:t>
      </w:r>
      <w:r w:rsidR="00E72B1E" w:rsidRPr="00762004">
        <w:t>No further information was received during the consultation process that changed that assessment</w:t>
      </w:r>
    </w:p>
    <w:p w14:paraId="47C3D800" w14:textId="77777777" w:rsidR="00857B90" w:rsidRPr="00101C42" w:rsidRDefault="00857B90" w:rsidP="00857B90">
      <w:pPr>
        <w:pStyle w:val="Heading4"/>
      </w:pPr>
      <w:r w:rsidRPr="00101C42">
        <w:lastRenderedPageBreak/>
        <w:t>2.5.1.2</w:t>
      </w:r>
      <w:r w:rsidRPr="00101C42">
        <w:tab/>
        <w:t>Other measures</w:t>
      </w:r>
    </w:p>
    <w:p w14:paraId="3F424720" w14:textId="77777777" w:rsidR="00857B90" w:rsidRPr="00101C42" w:rsidRDefault="00857B90" w:rsidP="00857B90">
      <w:r w:rsidRPr="00101C42">
        <w:t>There are no other measures (whether available to FSANZ or not) that would be more cost-effective than a food regulatory measure developed or varied as a result of the application.</w:t>
      </w:r>
    </w:p>
    <w:p w14:paraId="6CAF6945" w14:textId="77777777" w:rsidR="00857B90" w:rsidRPr="00101C42" w:rsidRDefault="00857B90" w:rsidP="00857B90">
      <w:pPr>
        <w:pStyle w:val="Heading4"/>
      </w:pPr>
      <w:r w:rsidRPr="00101C42">
        <w:t>2.5.1.3</w:t>
      </w:r>
      <w:r w:rsidRPr="00101C42">
        <w:tab/>
        <w:t>Any relevant New Zealand standards</w:t>
      </w:r>
    </w:p>
    <w:p w14:paraId="20666352" w14:textId="77777777" w:rsidR="00857B90" w:rsidRPr="00101C42" w:rsidRDefault="00857B90" w:rsidP="00857B90">
      <w:pPr>
        <w:rPr>
          <w:lang w:bidi="ar-SA"/>
        </w:rPr>
      </w:pPr>
      <w:r w:rsidRPr="00101C42">
        <w:rPr>
          <w:lang w:bidi="ar-SA"/>
        </w:rPr>
        <w:t>The relevant standards apply in both Australia and New Zealand. There are no relevant New Zealand only Standards.</w:t>
      </w:r>
    </w:p>
    <w:p w14:paraId="12FCFFF5" w14:textId="77777777" w:rsidR="00857B90" w:rsidRPr="00101C42" w:rsidRDefault="00857B90" w:rsidP="00857B90">
      <w:pPr>
        <w:pStyle w:val="Heading4"/>
      </w:pPr>
      <w:r w:rsidRPr="00101C42">
        <w:t>2.5.1.4</w:t>
      </w:r>
      <w:r w:rsidRPr="00101C42">
        <w:tab/>
        <w:t>Any other relevant matters</w:t>
      </w:r>
    </w:p>
    <w:p w14:paraId="0EF41234" w14:textId="35D3277C" w:rsidR="00857B90" w:rsidRPr="00101C42" w:rsidRDefault="00857B90" w:rsidP="00857B90">
      <w:pPr>
        <w:rPr>
          <w:lang w:bidi="ar-SA"/>
        </w:rPr>
      </w:pPr>
      <w:bookmarkStart w:id="102" w:name="_Toc370223479"/>
      <w:bookmarkStart w:id="103" w:name="_Toc370225394"/>
      <w:bookmarkStart w:id="104" w:name="_Toc300761897"/>
      <w:bookmarkStart w:id="105" w:name="_Toc300933440"/>
      <w:r w:rsidRPr="00101C42">
        <w:t>Other relevant matters are considered below</w:t>
      </w:r>
      <w:r w:rsidRPr="00101C42">
        <w:rPr>
          <w:lang w:bidi="ar-SA"/>
        </w:rPr>
        <w:t>.</w:t>
      </w:r>
    </w:p>
    <w:p w14:paraId="446B1135" w14:textId="77777777" w:rsidR="00857B90" w:rsidRPr="00101C42" w:rsidRDefault="00857B90" w:rsidP="00857B90">
      <w:pPr>
        <w:pStyle w:val="Heading3"/>
      </w:pPr>
      <w:bookmarkStart w:id="106" w:name="_Toc132711439"/>
      <w:r w:rsidRPr="00101C42">
        <w:t>2.5.2.</w:t>
      </w:r>
      <w:r w:rsidRPr="00101C42">
        <w:tab/>
        <w:t>Subsection 18(1)</w:t>
      </w:r>
      <w:bookmarkEnd w:id="102"/>
      <w:bookmarkEnd w:id="103"/>
      <w:bookmarkEnd w:id="106"/>
      <w:r w:rsidRPr="00101C42">
        <w:t xml:space="preserve"> </w:t>
      </w:r>
      <w:bookmarkEnd w:id="104"/>
      <w:bookmarkEnd w:id="105"/>
    </w:p>
    <w:p w14:paraId="5A80008F" w14:textId="77777777" w:rsidR="00857B90" w:rsidRPr="00101C42" w:rsidRDefault="00857B90" w:rsidP="00857B90">
      <w:r w:rsidRPr="00101C42">
        <w:rPr>
          <w:rFonts w:cs="Arial"/>
        </w:rPr>
        <w:t xml:space="preserve">FSANZ has also </w:t>
      </w:r>
      <w:r w:rsidRPr="00101C42">
        <w:t>considered the three objectives in subsection 18(1) of the FSANZ Act during the assessment.</w:t>
      </w:r>
    </w:p>
    <w:p w14:paraId="7BA253C6" w14:textId="77777777" w:rsidR="00857B90" w:rsidRPr="00101C42" w:rsidRDefault="00857B90" w:rsidP="00857B90">
      <w:pPr>
        <w:pStyle w:val="Heading4"/>
        <w:rPr>
          <w:lang w:eastAsia="en-AU"/>
        </w:rPr>
      </w:pPr>
      <w:bookmarkStart w:id="107" w:name="_Toc297029117"/>
      <w:bookmarkStart w:id="108" w:name="_Toc300761898"/>
      <w:bookmarkStart w:id="109" w:name="_Toc300933441"/>
      <w:r w:rsidRPr="00101C42">
        <w:rPr>
          <w:lang w:eastAsia="en-AU"/>
        </w:rPr>
        <w:t>2.5.2.1</w:t>
      </w:r>
      <w:r w:rsidRPr="00101C42">
        <w:rPr>
          <w:lang w:eastAsia="en-AU"/>
        </w:rPr>
        <w:tab/>
        <w:t>Protection of public health and safety</w:t>
      </w:r>
      <w:bookmarkEnd w:id="107"/>
      <w:bookmarkEnd w:id="108"/>
      <w:bookmarkEnd w:id="109"/>
    </w:p>
    <w:p w14:paraId="1D74CD5D" w14:textId="77777777" w:rsidR="00857B90" w:rsidRPr="00101C42" w:rsidRDefault="00857B90" w:rsidP="00857B90">
      <w:bookmarkStart w:id="110" w:name="_Toc300761899"/>
      <w:bookmarkStart w:id="111" w:name="_Toc300933442"/>
      <w:r w:rsidRPr="00101C42">
        <w:t>FSANZ undertook a safety assessment (see SD1) and concluded there were no public health and safety concerns associated with the proposed use of this enzyme.</w:t>
      </w:r>
    </w:p>
    <w:p w14:paraId="24F73B22" w14:textId="77777777" w:rsidR="00857B90" w:rsidRPr="00101C42" w:rsidRDefault="00857B90" w:rsidP="00857B90">
      <w:pPr>
        <w:pStyle w:val="Heading4"/>
        <w:rPr>
          <w:lang w:eastAsia="en-AU"/>
        </w:rPr>
      </w:pPr>
      <w:r w:rsidRPr="00101C42">
        <w:rPr>
          <w:lang w:eastAsia="en-AU"/>
        </w:rPr>
        <w:t>2.5.2.2</w:t>
      </w:r>
      <w:r w:rsidRPr="00101C42">
        <w:rPr>
          <w:lang w:eastAsia="en-AU"/>
        </w:rPr>
        <w:tab/>
        <w:t>The provision of adequate information relating to food to enable consumers to make informed choices</w:t>
      </w:r>
      <w:bookmarkEnd w:id="110"/>
      <w:bookmarkEnd w:id="111"/>
    </w:p>
    <w:p w14:paraId="3BA452BB" w14:textId="77777777" w:rsidR="00857B90" w:rsidRPr="00101C42" w:rsidRDefault="00857B90" w:rsidP="00857B90">
      <w:bookmarkStart w:id="112" w:name="_Toc300761900"/>
      <w:bookmarkStart w:id="113" w:name="_Toc300933443"/>
      <w:r w:rsidRPr="00101C42">
        <w:t>The labelling requirements for this enzyme are discussed in Section 2.3.3 of this report.</w:t>
      </w:r>
    </w:p>
    <w:p w14:paraId="2A069F6F" w14:textId="77777777" w:rsidR="00857B90" w:rsidRPr="00101C42" w:rsidRDefault="00857B90" w:rsidP="00857B90">
      <w:pPr>
        <w:pStyle w:val="Heading4"/>
        <w:rPr>
          <w:lang w:eastAsia="en-AU"/>
        </w:rPr>
      </w:pPr>
      <w:r w:rsidRPr="00101C42">
        <w:rPr>
          <w:lang w:eastAsia="en-AU"/>
        </w:rPr>
        <w:t>2.5.2.3</w:t>
      </w:r>
      <w:r w:rsidRPr="00101C42">
        <w:rPr>
          <w:lang w:eastAsia="en-AU"/>
        </w:rPr>
        <w:tab/>
        <w:t>The prevention of misleading or deceptive conduct</w:t>
      </w:r>
      <w:bookmarkEnd w:id="112"/>
      <w:bookmarkEnd w:id="113"/>
    </w:p>
    <w:p w14:paraId="5B1F3472" w14:textId="77777777" w:rsidR="00857B90" w:rsidRPr="00101C42" w:rsidRDefault="00857B90" w:rsidP="00857B90">
      <w:bookmarkStart w:id="114" w:name="_Toc300761901"/>
      <w:bookmarkStart w:id="115" w:name="_Toc300933444"/>
      <w:bookmarkStart w:id="116" w:name="_Toc370223480"/>
      <w:bookmarkStart w:id="117" w:name="_Toc370225395"/>
      <w:r w:rsidRPr="00101C42">
        <w:t>There are no issues identified with this application relevant to this objective.</w:t>
      </w:r>
    </w:p>
    <w:p w14:paraId="572BF26C" w14:textId="77777777" w:rsidR="00857B90" w:rsidRPr="00101C42" w:rsidRDefault="00857B90" w:rsidP="00857B90">
      <w:pPr>
        <w:keepNext/>
        <w:spacing w:before="240" w:after="240"/>
        <w:ind w:left="851" w:hanging="851"/>
        <w:outlineLvl w:val="2"/>
        <w:rPr>
          <w:b/>
          <w:bCs/>
          <w:lang w:eastAsia="en-AU" w:bidi="ar-SA"/>
        </w:rPr>
      </w:pPr>
      <w:r w:rsidRPr="00101C42">
        <w:rPr>
          <w:b/>
          <w:bCs/>
          <w:lang w:eastAsia="en-AU" w:bidi="ar-SA"/>
        </w:rPr>
        <w:t>2.5.3</w:t>
      </w:r>
      <w:r w:rsidRPr="00101C42">
        <w:rPr>
          <w:b/>
          <w:bCs/>
          <w:lang w:eastAsia="en-AU" w:bidi="ar-SA"/>
        </w:rPr>
        <w:tab/>
        <w:t xml:space="preserve">Subsection 18(2) </w:t>
      </w:r>
      <w:bookmarkEnd w:id="114"/>
      <w:bookmarkEnd w:id="115"/>
      <w:r w:rsidRPr="00101C42">
        <w:rPr>
          <w:b/>
          <w:bCs/>
          <w:lang w:eastAsia="en-AU" w:bidi="ar-SA"/>
        </w:rPr>
        <w:t>considerations</w:t>
      </w:r>
      <w:bookmarkEnd w:id="116"/>
      <w:bookmarkEnd w:id="117"/>
    </w:p>
    <w:p w14:paraId="4C00007C" w14:textId="77777777" w:rsidR="00857B90" w:rsidRPr="00101C42" w:rsidRDefault="00857B90" w:rsidP="00857B90">
      <w:pPr>
        <w:rPr>
          <w:rFonts w:cs="Arial"/>
        </w:rPr>
      </w:pPr>
      <w:r w:rsidRPr="00101C42">
        <w:rPr>
          <w:rFonts w:cs="Arial"/>
        </w:rPr>
        <w:t>FSANZ has also had regard to:</w:t>
      </w:r>
    </w:p>
    <w:p w14:paraId="371F7A6D" w14:textId="77777777" w:rsidR="00857B90" w:rsidRPr="00101C42" w:rsidRDefault="00857B90" w:rsidP="004D0ABD">
      <w:pPr>
        <w:pStyle w:val="FSBullet1"/>
        <w:rPr>
          <w:b/>
        </w:rPr>
      </w:pPr>
      <w:r w:rsidRPr="00101C42">
        <w:rPr>
          <w:b/>
        </w:rPr>
        <w:t>the need for standards to be based on risk analysis using the best available scientific evidence</w:t>
      </w:r>
    </w:p>
    <w:p w14:paraId="4DA87838" w14:textId="77777777" w:rsidR="00857B90" w:rsidRPr="00101C42" w:rsidRDefault="00857B90" w:rsidP="00857B90">
      <w:pPr>
        <w:pStyle w:val="FSBullet1"/>
        <w:numPr>
          <w:ilvl w:val="0"/>
          <w:numId w:val="0"/>
        </w:numPr>
      </w:pPr>
      <w:r w:rsidRPr="00101C42">
        <w:t>FSANZ used the best available scientific evidence to conduct the risk analysis. The applicant submitted a dossier of information and scientific literature as part of its application. This dossier, together with other relevant technical and scientific information, was considered by FSANZ in assessing the application. The risk assessment is provided in SD1.</w:t>
      </w:r>
    </w:p>
    <w:p w14:paraId="5318E744" w14:textId="77777777" w:rsidR="00857B90" w:rsidRPr="00101C42" w:rsidRDefault="00857B90" w:rsidP="004D0ABD">
      <w:pPr>
        <w:pStyle w:val="FSBullet1"/>
        <w:rPr>
          <w:b/>
        </w:rPr>
      </w:pPr>
      <w:r w:rsidRPr="00101C42">
        <w:rPr>
          <w:b/>
        </w:rPr>
        <w:t>the promotion of consistency between domestic and international food standards</w:t>
      </w:r>
    </w:p>
    <w:p w14:paraId="7D6CFD42" w14:textId="77777777" w:rsidR="00857B90" w:rsidRPr="001F63AD" w:rsidRDefault="00857B90" w:rsidP="00857B90">
      <w:pPr>
        <w:pStyle w:val="FSBullet1"/>
        <w:numPr>
          <w:ilvl w:val="0"/>
          <w:numId w:val="0"/>
        </w:numPr>
      </w:pPr>
      <w:r w:rsidRPr="001F63AD">
        <w:t>There are relevant international specifications for enzyme preparations, being the JECFA Compendium of Food Additive Specifications and the Food Chemicals Codex specifications for enzymes referred to in Section 1.3 of this report, with which this enzyme must comply.</w:t>
      </w:r>
    </w:p>
    <w:p w14:paraId="593CB9D9" w14:textId="77777777" w:rsidR="00857B90" w:rsidRPr="001F63AD" w:rsidRDefault="00857B90" w:rsidP="004D0ABD">
      <w:pPr>
        <w:pStyle w:val="FSBullet1"/>
        <w:rPr>
          <w:b/>
        </w:rPr>
      </w:pPr>
      <w:r w:rsidRPr="001F63AD">
        <w:rPr>
          <w:b/>
        </w:rPr>
        <w:t>the desirability of an efficient and internationally competitive food industry</w:t>
      </w:r>
    </w:p>
    <w:p w14:paraId="6B2A899B" w14:textId="2758E88A" w:rsidR="001F63AD" w:rsidRDefault="001F63AD" w:rsidP="001F63AD">
      <w:pPr>
        <w:spacing w:before="240"/>
      </w:pPr>
      <w:r w:rsidRPr="00DA2939">
        <w:t xml:space="preserve">The applicant advised that </w:t>
      </w:r>
      <w:r>
        <w:t xml:space="preserve">their </w:t>
      </w:r>
      <w:r>
        <w:rPr>
          <w:rFonts w:cs="Arial"/>
        </w:rPr>
        <w:t xml:space="preserve">endo-1,4-beta-xylanase </w:t>
      </w:r>
      <w:r>
        <w:t>preparation</w:t>
      </w:r>
      <w:r w:rsidRPr="00DA2939">
        <w:t xml:space="preserve"> is </w:t>
      </w:r>
      <w:r>
        <w:t>used in a range of countries, where there are no restrictions on the use of enzyme processing aids or where the enzyme is covered by a country positive list or specific approval.</w:t>
      </w:r>
      <w:r w:rsidRPr="00DA2939">
        <w:t xml:space="preserve"> </w:t>
      </w:r>
      <w:r>
        <w:t xml:space="preserve">They also advised that their enzyme preparation has been approved for use </w:t>
      </w:r>
      <w:r w:rsidRPr="00DA2939">
        <w:t>in</w:t>
      </w:r>
      <w:r>
        <w:t xml:space="preserve"> </w:t>
      </w:r>
      <w:r w:rsidRPr="00DA2939">
        <w:t>Brazil</w:t>
      </w:r>
      <w:r>
        <w:t>, Denmark</w:t>
      </w:r>
      <w:r w:rsidRPr="00DA2939">
        <w:t xml:space="preserve"> and Mexico.</w:t>
      </w:r>
    </w:p>
    <w:p w14:paraId="59EDEE93" w14:textId="13567F67" w:rsidR="001F63AD" w:rsidRPr="00DA2939" w:rsidRDefault="001F63AD" w:rsidP="001F63AD">
      <w:pPr>
        <w:spacing w:before="240" w:after="240"/>
        <w:rPr>
          <w:lang w:bidi="ar-SA"/>
        </w:rPr>
      </w:pPr>
      <w:r w:rsidRPr="00DA2939">
        <w:lastRenderedPageBreak/>
        <w:t>A</w:t>
      </w:r>
      <w:r w:rsidRPr="00DA2939">
        <w:rPr>
          <w:lang w:bidi="ar-SA"/>
        </w:rPr>
        <w:t xml:space="preserve">pproval for use </w:t>
      </w:r>
      <w:r w:rsidR="001D6714">
        <w:rPr>
          <w:lang w:bidi="ar-SA"/>
        </w:rPr>
        <w:t>brings</w:t>
      </w:r>
      <w:r w:rsidRPr="00DA2939">
        <w:rPr>
          <w:lang w:bidi="ar-SA"/>
        </w:rPr>
        <w:t xml:space="preserve"> Australia and New Zealand into line with other </w:t>
      </w:r>
      <w:r>
        <w:rPr>
          <w:lang w:bidi="ar-SA"/>
        </w:rPr>
        <w:t>countries</w:t>
      </w:r>
      <w:r w:rsidRPr="00DA2939">
        <w:rPr>
          <w:lang w:bidi="ar-SA"/>
        </w:rPr>
        <w:t xml:space="preserve"> where it is already </w:t>
      </w:r>
      <w:r>
        <w:rPr>
          <w:lang w:bidi="ar-SA"/>
        </w:rPr>
        <w:t>permitted</w:t>
      </w:r>
      <w:r w:rsidRPr="00DA2939">
        <w:rPr>
          <w:lang w:bidi="ar-SA"/>
        </w:rPr>
        <w:t xml:space="preserve"> for use. In this way, Australia and New Zealand </w:t>
      </w:r>
      <w:r>
        <w:rPr>
          <w:lang w:bidi="ar-SA"/>
        </w:rPr>
        <w:t>will</w:t>
      </w:r>
      <w:r w:rsidRPr="00DA2939">
        <w:rPr>
          <w:lang w:bidi="ar-SA"/>
        </w:rPr>
        <w:t xml:space="preserve"> remain competitive with other international markets. This </w:t>
      </w:r>
      <w:r>
        <w:rPr>
          <w:lang w:bidi="ar-SA"/>
        </w:rPr>
        <w:t>will</w:t>
      </w:r>
      <w:r w:rsidRPr="00DA2939">
        <w:rPr>
          <w:lang w:bidi="ar-SA"/>
        </w:rPr>
        <w:t xml:space="preserve"> also help foster continued innovation and improvements in food manufacturing techniques and processes.</w:t>
      </w:r>
    </w:p>
    <w:p w14:paraId="17E67391" w14:textId="77777777" w:rsidR="001F63AD" w:rsidRPr="00DA2939" w:rsidRDefault="001F63AD" w:rsidP="001F63AD">
      <w:pPr>
        <w:rPr>
          <w:lang w:bidi="ar-SA"/>
        </w:rPr>
      </w:pPr>
      <w:r w:rsidRPr="00DA2939">
        <w:rPr>
          <w:lang w:bidi="ar-SA"/>
        </w:rPr>
        <w:t xml:space="preserve">The conclusion of the risk assessment is there are no public health and safety concerns associated with the proposed use of the enzyme as a food processing aid. It is therefore appropriate that Australian and New Zealand food industries are given the opportunity to benefit from this alternative enzyme for </w:t>
      </w:r>
      <w:r>
        <w:rPr>
          <w:lang w:bidi="ar-SA"/>
        </w:rPr>
        <w:t>use at levels and for the purpose</w:t>
      </w:r>
      <w:r w:rsidRPr="00DA2939">
        <w:rPr>
          <w:lang w:bidi="ar-SA"/>
        </w:rPr>
        <w:t xml:space="preserve"> proposed by the applicant.</w:t>
      </w:r>
    </w:p>
    <w:p w14:paraId="7EEC464E" w14:textId="18E6D73B" w:rsidR="001F63AD" w:rsidRPr="008828D9" w:rsidRDefault="001F63AD" w:rsidP="001F63AD">
      <w:pPr>
        <w:spacing w:before="240" w:after="240"/>
        <w:rPr>
          <w:lang w:bidi="ar-SA"/>
        </w:rPr>
      </w:pPr>
      <w:r w:rsidRPr="00DA2939">
        <w:rPr>
          <w:lang w:bidi="ar-SA"/>
        </w:rPr>
        <w:t xml:space="preserve">Ultimately, </w:t>
      </w:r>
      <w:r>
        <w:rPr>
          <w:lang w:bidi="ar-SA"/>
        </w:rPr>
        <w:t>food businesses</w:t>
      </w:r>
      <w:r w:rsidRPr="00DA2939">
        <w:rPr>
          <w:lang w:bidi="ar-SA"/>
        </w:rPr>
        <w:t xml:space="preserve"> will make their own </w:t>
      </w:r>
      <w:r>
        <w:rPr>
          <w:lang w:bidi="ar-SA"/>
        </w:rPr>
        <w:t>economic</w:t>
      </w:r>
      <w:r w:rsidRPr="00DA2939">
        <w:rPr>
          <w:lang w:bidi="ar-SA"/>
        </w:rPr>
        <w:t xml:space="preserve"> decisions, taking into </w:t>
      </w:r>
      <w:r>
        <w:rPr>
          <w:lang w:bidi="ar-SA"/>
        </w:rPr>
        <w:t>consideration</w:t>
      </w:r>
      <w:r w:rsidRPr="00DA2939">
        <w:rPr>
          <w:lang w:bidi="ar-SA"/>
        </w:rPr>
        <w:t xml:space="preserve"> the costs and benefits of using the new enzyme, to determine if it is of benefit to their business.</w:t>
      </w:r>
    </w:p>
    <w:p w14:paraId="53789641" w14:textId="77777777" w:rsidR="00857B90" w:rsidRPr="001F63AD" w:rsidRDefault="00857B90" w:rsidP="004D0ABD">
      <w:pPr>
        <w:pStyle w:val="FSBullet1"/>
        <w:rPr>
          <w:b/>
        </w:rPr>
      </w:pPr>
      <w:r w:rsidRPr="001F63AD">
        <w:rPr>
          <w:b/>
        </w:rPr>
        <w:t>the promotion of fair trading in food</w:t>
      </w:r>
    </w:p>
    <w:p w14:paraId="54291A3F" w14:textId="77777777" w:rsidR="00857B90" w:rsidRPr="001F63AD" w:rsidRDefault="00857B90" w:rsidP="00857B90">
      <w:pPr>
        <w:pStyle w:val="FSBullet1"/>
        <w:numPr>
          <w:ilvl w:val="0"/>
          <w:numId w:val="0"/>
        </w:numPr>
      </w:pPr>
      <w:r w:rsidRPr="001F63AD">
        <w:t>No issues were identified for this application relevant to this objective.</w:t>
      </w:r>
    </w:p>
    <w:p w14:paraId="47E0CC89" w14:textId="77777777" w:rsidR="00857B90" w:rsidRPr="001F63AD" w:rsidRDefault="00857B90" w:rsidP="004D0ABD">
      <w:pPr>
        <w:pStyle w:val="FSBullet1"/>
        <w:rPr>
          <w:b/>
        </w:rPr>
      </w:pPr>
      <w:r w:rsidRPr="001F63AD">
        <w:rPr>
          <w:b/>
        </w:rPr>
        <w:t>any written policy guidelines formulated by the Food Ministers’ Meeting</w:t>
      </w:r>
    </w:p>
    <w:p w14:paraId="161381F5" w14:textId="77777777" w:rsidR="00857B90" w:rsidRPr="001F63AD" w:rsidRDefault="00857B90" w:rsidP="00857B90">
      <w:pPr>
        <w:rPr>
          <w:lang w:bidi="ar-SA"/>
        </w:rPr>
      </w:pPr>
      <w:r w:rsidRPr="001F63AD">
        <w:rPr>
          <w:lang w:bidi="ar-SA"/>
        </w:rPr>
        <w:t xml:space="preserve">The Ministerial Policy Guideline </w:t>
      </w:r>
      <w:r w:rsidRPr="001F63AD">
        <w:rPr>
          <w:i/>
          <w:iCs/>
          <w:lang w:bidi="ar-SA"/>
        </w:rPr>
        <w:t>Addition to Food of Substances other than Vitamins and Minerals</w:t>
      </w:r>
      <w:r w:rsidRPr="001F63AD">
        <w:rPr>
          <w:rStyle w:val="FootnoteReference"/>
          <w:i/>
          <w:iCs/>
          <w:lang w:bidi="ar-SA"/>
        </w:rPr>
        <w:footnoteReference w:id="6"/>
      </w:r>
      <w:r w:rsidRPr="001F63AD">
        <w:rPr>
          <w:lang w:bidi="ar-SA"/>
        </w:rPr>
        <w:t xml:space="preserve"> includes specific order policy principles for substances added to achieve a solely technological function, such as processing aids. These specific order policy principles state that permission should be granted where:</w:t>
      </w:r>
    </w:p>
    <w:p w14:paraId="056D53D9" w14:textId="77777777" w:rsidR="00857B90" w:rsidRPr="001F63AD" w:rsidRDefault="00857B90" w:rsidP="004D0ABD">
      <w:pPr>
        <w:pStyle w:val="FSBullet1"/>
        <w:numPr>
          <w:ilvl w:val="0"/>
          <w:numId w:val="4"/>
        </w:numPr>
        <w:spacing w:before="0" w:after="0"/>
        <w:ind w:left="567" w:hanging="567"/>
      </w:pPr>
      <w:r w:rsidRPr="001F63AD">
        <w:t>the purpose for adding the substance can be articulated clearly by the manufacturer as achieving a solely technological function (i.e. the ‘stated purpose’)</w:t>
      </w:r>
    </w:p>
    <w:p w14:paraId="4E365604" w14:textId="77777777" w:rsidR="00857B90" w:rsidRPr="001F63AD" w:rsidRDefault="00857B90" w:rsidP="004D0ABD">
      <w:pPr>
        <w:pStyle w:val="FSBullet1"/>
        <w:numPr>
          <w:ilvl w:val="0"/>
          <w:numId w:val="4"/>
        </w:numPr>
        <w:spacing w:before="0" w:after="0"/>
        <w:ind w:left="567" w:hanging="567"/>
      </w:pPr>
      <w:r w:rsidRPr="001F63AD">
        <w:t>the addition of the substance to food is safe for human consumption</w:t>
      </w:r>
    </w:p>
    <w:p w14:paraId="158EBB69" w14:textId="77777777" w:rsidR="00857B90" w:rsidRPr="001F63AD" w:rsidRDefault="00857B90" w:rsidP="004D0ABD">
      <w:pPr>
        <w:pStyle w:val="FSBullet1"/>
        <w:numPr>
          <w:ilvl w:val="0"/>
          <w:numId w:val="4"/>
        </w:numPr>
        <w:spacing w:before="0" w:after="0"/>
        <w:ind w:left="567" w:hanging="567"/>
      </w:pPr>
      <w:r w:rsidRPr="001F63AD">
        <w:t>the amounts added are consistent with achieving the technological function</w:t>
      </w:r>
    </w:p>
    <w:p w14:paraId="1FB86A76" w14:textId="77777777" w:rsidR="00857B90" w:rsidRPr="001F63AD" w:rsidRDefault="00857B90" w:rsidP="004D0ABD">
      <w:pPr>
        <w:pStyle w:val="FSBullet1"/>
        <w:numPr>
          <w:ilvl w:val="0"/>
          <w:numId w:val="4"/>
        </w:numPr>
        <w:spacing w:before="0" w:after="0"/>
        <w:ind w:left="567" w:hanging="567"/>
      </w:pPr>
      <w:r w:rsidRPr="001F63AD">
        <w:t>the substance is added in a quantity and a form which is consistent with delivering the stated purpose</w:t>
      </w:r>
    </w:p>
    <w:p w14:paraId="00D8F701" w14:textId="77777777" w:rsidR="00857B90" w:rsidRPr="001F63AD" w:rsidRDefault="00857B90" w:rsidP="004D0ABD">
      <w:pPr>
        <w:pStyle w:val="FSBullet1"/>
        <w:numPr>
          <w:ilvl w:val="0"/>
          <w:numId w:val="4"/>
        </w:numPr>
        <w:spacing w:before="0" w:after="0"/>
        <w:ind w:left="567" w:hanging="567"/>
      </w:pPr>
      <w:r w:rsidRPr="001F63AD">
        <w:t>no nutrition, health or related claims are to be made in regard to the substance.</w:t>
      </w:r>
    </w:p>
    <w:p w14:paraId="1E889571" w14:textId="77777777" w:rsidR="00857B90" w:rsidRPr="001F63AD" w:rsidRDefault="00857B90" w:rsidP="00857B90">
      <w:pPr>
        <w:rPr>
          <w:lang w:bidi="ar-SA"/>
        </w:rPr>
      </w:pPr>
      <w:r w:rsidRPr="001F63AD">
        <w:rPr>
          <w:lang w:bidi="ar-SA"/>
        </w:rPr>
        <w:t>FSANZ determined that permitting the proposed use of this enzyme is consistent with these specific order policy principles for ‘Technological Function’. All other relevant requirements of the policy guideline are similarly met.</w:t>
      </w:r>
    </w:p>
    <w:p w14:paraId="531B7143" w14:textId="77777777" w:rsidR="00857B90" w:rsidRPr="001F63AD" w:rsidRDefault="00857B90" w:rsidP="00857B90">
      <w:pPr>
        <w:spacing w:before="240"/>
        <w:rPr>
          <w:b/>
          <w:sz w:val="28"/>
          <w:szCs w:val="28"/>
        </w:rPr>
      </w:pPr>
      <w:bookmarkStart w:id="118" w:name="_Toc11735643"/>
      <w:bookmarkStart w:id="119" w:name="_Toc29883130"/>
      <w:bookmarkStart w:id="120" w:name="_Toc41906817"/>
      <w:bookmarkStart w:id="121" w:name="_Toc41907564"/>
      <w:bookmarkStart w:id="122" w:name="_Toc43112360"/>
      <w:bookmarkEnd w:id="98"/>
      <w:r w:rsidRPr="001F63AD">
        <w:rPr>
          <w:b/>
          <w:sz w:val="28"/>
          <w:szCs w:val="28"/>
        </w:rPr>
        <w:t>A</w:t>
      </w:r>
      <w:bookmarkEnd w:id="118"/>
      <w:bookmarkEnd w:id="119"/>
      <w:bookmarkEnd w:id="120"/>
      <w:bookmarkEnd w:id="121"/>
      <w:bookmarkEnd w:id="122"/>
      <w:r w:rsidRPr="001F63AD">
        <w:rPr>
          <w:b/>
          <w:sz w:val="28"/>
          <w:szCs w:val="28"/>
        </w:rPr>
        <w:t>ttachments</w:t>
      </w:r>
    </w:p>
    <w:p w14:paraId="5ED4E96B" w14:textId="77777777" w:rsidR="00857B90" w:rsidRPr="001F63AD" w:rsidRDefault="00857B90" w:rsidP="00857B90"/>
    <w:p w14:paraId="290B92CD" w14:textId="572D3EC7" w:rsidR="00857B90" w:rsidRPr="001F63AD" w:rsidRDefault="00857B90" w:rsidP="00857B90">
      <w:pPr>
        <w:ind w:left="567" w:hanging="567"/>
      </w:pPr>
      <w:r w:rsidRPr="001F63AD">
        <w:t>A.</w:t>
      </w:r>
      <w:r w:rsidRPr="001F63AD">
        <w:tab/>
        <w:t xml:space="preserve">Approved draft variation to the </w:t>
      </w:r>
      <w:r w:rsidRPr="001F63AD">
        <w:rPr>
          <w:i/>
        </w:rPr>
        <w:t>Australia New Zealand Food Standards Code</w:t>
      </w:r>
    </w:p>
    <w:p w14:paraId="3C0B8FA6" w14:textId="65E9D8C1" w:rsidR="00857B90" w:rsidRPr="001F63AD" w:rsidRDefault="00857B90" w:rsidP="00857B90">
      <w:pPr>
        <w:ind w:left="567" w:hanging="567"/>
      </w:pPr>
      <w:r w:rsidRPr="001F63AD">
        <w:t>B.</w:t>
      </w:r>
      <w:r w:rsidRPr="001F63AD">
        <w:tab/>
        <w:t>Explanatory Statement</w:t>
      </w:r>
    </w:p>
    <w:p w14:paraId="2292B098" w14:textId="7DCE29E3" w:rsidR="00857B90" w:rsidRPr="001F63AD" w:rsidRDefault="00857B90" w:rsidP="00857B90">
      <w:pPr>
        <w:pStyle w:val="Heading2"/>
        <w:ind w:left="0" w:firstLine="0"/>
      </w:pPr>
      <w:r w:rsidRPr="00857B90">
        <w:rPr>
          <w:highlight w:val="yellow"/>
        </w:rPr>
        <w:br w:type="page"/>
      </w:r>
      <w:bookmarkStart w:id="123" w:name="_Toc29883131"/>
      <w:bookmarkStart w:id="124" w:name="_Toc41906818"/>
      <w:bookmarkStart w:id="125" w:name="_Toc41907565"/>
      <w:bookmarkStart w:id="126" w:name="_Toc120358596"/>
      <w:bookmarkStart w:id="127" w:name="_Toc175381458"/>
      <w:bookmarkStart w:id="128" w:name="_Toc11735644"/>
      <w:bookmarkStart w:id="129" w:name="_Toc132711440"/>
      <w:r w:rsidRPr="001F63AD">
        <w:lastRenderedPageBreak/>
        <w:t xml:space="preserve">Attachment </w:t>
      </w:r>
      <w:bookmarkEnd w:id="123"/>
      <w:bookmarkEnd w:id="124"/>
      <w:bookmarkEnd w:id="125"/>
      <w:bookmarkEnd w:id="126"/>
      <w:bookmarkEnd w:id="127"/>
      <w:r w:rsidRPr="001F63AD">
        <w:t>A</w:t>
      </w:r>
      <w:bookmarkStart w:id="130" w:name="_Toc120358597"/>
      <w:bookmarkStart w:id="131" w:name="_Toc175381459"/>
      <w:bookmarkEnd w:id="128"/>
      <w:r w:rsidRPr="001F63AD">
        <w:t xml:space="preserve"> –</w:t>
      </w:r>
      <w:bookmarkStart w:id="132" w:name="_Toc120358598"/>
      <w:bookmarkStart w:id="133" w:name="_Toc175381460"/>
      <w:bookmarkEnd w:id="130"/>
      <w:bookmarkEnd w:id="131"/>
      <w:r w:rsidRPr="001F63AD">
        <w:t xml:space="preserve"> Approved draft variation to the </w:t>
      </w:r>
      <w:r w:rsidRPr="001F63AD">
        <w:rPr>
          <w:i/>
        </w:rPr>
        <w:t>Australia New Zealand Food Standards Code</w:t>
      </w:r>
      <w:bookmarkEnd w:id="129"/>
    </w:p>
    <w:bookmarkEnd w:id="132"/>
    <w:bookmarkEnd w:id="133"/>
    <w:p w14:paraId="708D7029" w14:textId="77777777" w:rsidR="00857B90" w:rsidRPr="00857B90" w:rsidRDefault="00857B90" w:rsidP="00857B90">
      <w:pPr>
        <w:rPr>
          <w:noProof/>
          <w:sz w:val="20"/>
          <w:highlight w:val="yellow"/>
          <w:lang w:val="en-AU" w:eastAsia="en-AU"/>
        </w:rPr>
      </w:pPr>
      <w:r w:rsidRPr="00857B90">
        <w:rPr>
          <w:noProof/>
          <w:sz w:val="20"/>
          <w:highlight w:val="yellow"/>
          <w:lang w:val="en-AU" w:eastAsia="en-AU"/>
        </w:rPr>
        <w:drawing>
          <wp:inline distT="0" distB="0" distL="0" distR="0" wp14:anchorId="3D80209A" wp14:editId="776F8F48">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D14D6E4" w14:textId="77777777" w:rsidR="00857B90" w:rsidRPr="00857B90" w:rsidRDefault="00857B90" w:rsidP="00857B90">
      <w:pPr>
        <w:pBdr>
          <w:bottom w:val="single" w:sz="4" w:space="1" w:color="auto"/>
        </w:pBdr>
        <w:rPr>
          <w:b/>
          <w:bCs/>
          <w:highlight w:val="yellow"/>
        </w:rPr>
      </w:pPr>
    </w:p>
    <w:p w14:paraId="2384EEBA" w14:textId="5EB95722" w:rsidR="00857B90" w:rsidRPr="001F63AD" w:rsidRDefault="00857B90" w:rsidP="00857B90">
      <w:pPr>
        <w:pBdr>
          <w:bottom w:val="single" w:sz="4" w:space="1" w:color="auto"/>
        </w:pBdr>
        <w:rPr>
          <w:b/>
          <w:sz w:val="20"/>
        </w:rPr>
      </w:pPr>
      <w:r w:rsidRPr="001F63AD">
        <w:rPr>
          <w:b/>
          <w:sz w:val="20"/>
        </w:rPr>
        <w:t xml:space="preserve">Food Standards </w:t>
      </w:r>
      <w:r w:rsidR="001F63AD" w:rsidRPr="001F63AD">
        <w:rPr>
          <w:b/>
          <w:sz w:val="20"/>
        </w:rPr>
        <w:t xml:space="preserve">(Application A1228 – </w:t>
      </w:r>
      <w:r w:rsidR="001F63AD" w:rsidRPr="001F63AD">
        <w:rPr>
          <w:b/>
          <w:bCs/>
          <w:sz w:val="20"/>
        </w:rPr>
        <w:t xml:space="preserve">Endo-1,4-beta-xylanase from GM </w:t>
      </w:r>
      <w:r w:rsidR="001F63AD" w:rsidRPr="001F63AD">
        <w:rPr>
          <w:b/>
          <w:bCs/>
          <w:i/>
          <w:iCs/>
          <w:sz w:val="20"/>
        </w:rPr>
        <w:t xml:space="preserve">Trichoderma </w:t>
      </w:r>
      <w:proofErr w:type="spellStart"/>
      <w:r w:rsidR="001F63AD" w:rsidRPr="001F63AD">
        <w:rPr>
          <w:b/>
          <w:bCs/>
          <w:i/>
          <w:iCs/>
          <w:sz w:val="20"/>
        </w:rPr>
        <w:t>reesei</w:t>
      </w:r>
      <w:proofErr w:type="spellEnd"/>
      <w:r w:rsidR="001F63AD" w:rsidRPr="001F63AD">
        <w:rPr>
          <w:b/>
          <w:bCs/>
          <w:sz w:val="20"/>
        </w:rPr>
        <w:t xml:space="preserve"> (gene donor: </w:t>
      </w:r>
      <w:proofErr w:type="spellStart"/>
      <w:r w:rsidR="001F63AD" w:rsidRPr="001F63AD">
        <w:rPr>
          <w:b/>
          <w:bCs/>
          <w:i/>
          <w:iCs/>
          <w:sz w:val="20"/>
        </w:rPr>
        <w:t>Talaromyces</w:t>
      </w:r>
      <w:proofErr w:type="spellEnd"/>
      <w:r w:rsidR="001F63AD" w:rsidRPr="001F63AD">
        <w:rPr>
          <w:b/>
          <w:bCs/>
          <w:i/>
          <w:iCs/>
          <w:sz w:val="20"/>
        </w:rPr>
        <w:t xml:space="preserve"> </w:t>
      </w:r>
      <w:proofErr w:type="spellStart"/>
      <w:r w:rsidR="001F63AD" w:rsidRPr="001F63AD">
        <w:rPr>
          <w:b/>
          <w:bCs/>
          <w:i/>
          <w:iCs/>
          <w:sz w:val="20"/>
        </w:rPr>
        <w:t>leycettanus</w:t>
      </w:r>
      <w:proofErr w:type="spellEnd"/>
      <w:r w:rsidR="001F63AD" w:rsidRPr="001F63AD">
        <w:rPr>
          <w:b/>
          <w:bCs/>
          <w:sz w:val="20"/>
        </w:rPr>
        <w:t>) as a processing aid)</w:t>
      </w:r>
      <w:r w:rsidRPr="001F63AD">
        <w:rPr>
          <w:b/>
          <w:sz w:val="20"/>
        </w:rPr>
        <w:t xml:space="preserve"> Variation</w:t>
      </w:r>
    </w:p>
    <w:p w14:paraId="3DC71FD3" w14:textId="77777777" w:rsidR="00857B90" w:rsidRPr="001F63AD" w:rsidRDefault="00857B90" w:rsidP="00857B90">
      <w:pPr>
        <w:pBdr>
          <w:bottom w:val="single" w:sz="4" w:space="1" w:color="auto"/>
        </w:pBdr>
        <w:rPr>
          <w:b/>
          <w:sz w:val="20"/>
        </w:rPr>
      </w:pPr>
    </w:p>
    <w:p w14:paraId="1B1CBBB8" w14:textId="77777777" w:rsidR="00857B90" w:rsidRPr="001F63AD" w:rsidRDefault="00857B90" w:rsidP="00857B90">
      <w:pPr>
        <w:rPr>
          <w:sz w:val="20"/>
        </w:rPr>
      </w:pPr>
    </w:p>
    <w:p w14:paraId="385A420F" w14:textId="77777777" w:rsidR="00857B90" w:rsidRPr="001F63AD" w:rsidRDefault="00857B90" w:rsidP="00857B90">
      <w:pPr>
        <w:rPr>
          <w:sz w:val="20"/>
        </w:rPr>
      </w:pPr>
      <w:r w:rsidRPr="001F63AD">
        <w:rPr>
          <w:sz w:val="20"/>
        </w:rPr>
        <w:t xml:space="preserve">The Board of Food Standards Australia New Zealand gives notice of the making of this variation under section 92 of the </w:t>
      </w:r>
      <w:r w:rsidRPr="001F63AD">
        <w:rPr>
          <w:i/>
          <w:sz w:val="20"/>
        </w:rPr>
        <w:t>Food Standards Australia New Zealand Act 1991</w:t>
      </w:r>
      <w:r w:rsidRPr="001F63AD">
        <w:rPr>
          <w:sz w:val="20"/>
        </w:rPr>
        <w:t>.  The variation commences on the date specified in clause 3 of this variation.</w:t>
      </w:r>
    </w:p>
    <w:p w14:paraId="79A50679" w14:textId="77777777" w:rsidR="00857B90" w:rsidRPr="001F63AD" w:rsidRDefault="00857B90" w:rsidP="00857B90">
      <w:pPr>
        <w:rPr>
          <w:sz w:val="20"/>
        </w:rPr>
      </w:pPr>
    </w:p>
    <w:p w14:paraId="4AF645AB" w14:textId="77777777" w:rsidR="00857B90" w:rsidRPr="001F63AD" w:rsidRDefault="00857B90" w:rsidP="00857B90">
      <w:pPr>
        <w:rPr>
          <w:color w:val="FF0000"/>
          <w:sz w:val="20"/>
        </w:rPr>
      </w:pPr>
      <w:r w:rsidRPr="001F63AD">
        <w:rPr>
          <w:sz w:val="20"/>
        </w:rPr>
        <w:t xml:space="preserve">Dated </w:t>
      </w:r>
      <w:r w:rsidRPr="001F63AD">
        <w:rPr>
          <w:color w:val="FF0000"/>
          <w:sz w:val="20"/>
        </w:rPr>
        <w:t>[</w:t>
      </w:r>
      <w:r w:rsidRPr="001F63AD">
        <w:rPr>
          <w:i/>
          <w:color w:val="FF0000"/>
          <w:sz w:val="20"/>
        </w:rPr>
        <w:t>To be completed by Delegate</w:t>
      </w:r>
      <w:r w:rsidRPr="001F63AD">
        <w:rPr>
          <w:color w:val="FF0000"/>
          <w:sz w:val="20"/>
        </w:rPr>
        <w:t>]</w:t>
      </w:r>
    </w:p>
    <w:p w14:paraId="64DB98BF" w14:textId="77777777" w:rsidR="00857B90" w:rsidRPr="001F63AD" w:rsidRDefault="00857B90" w:rsidP="00857B90">
      <w:pPr>
        <w:rPr>
          <w:sz w:val="20"/>
        </w:rPr>
      </w:pPr>
    </w:p>
    <w:p w14:paraId="577FB93E" w14:textId="77777777" w:rsidR="00857B90" w:rsidRPr="001F63AD" w:rsidRDefault="00857B90" w:rsidP="00857B90">
      <w:pPr>
        <w:rPr>
          <w:sz w:val="20"/>
        </w:rPr>
      </w:pPr>
    </w:p>
    <w:p w14:paraId="59F261E7" w14:textId="77777777" w:rsidR="00857B90" w:rsidRPr="001F63AD" w:rsidRDefault="00857B90" w:rsidP="00857B90">
      <w:pPr>
        <w:rPr>
          <w:sz w:val="20"/>
        </w:rPr>
      </w:pPr>
    </w:p>
    <w:p w14:paraId="42A2C7B7" w14:textId="77777777" w:rsidR="00857B90" w:rsidRPr="001F63AD" w:rsidRDefault="00857B90" w:rsidP="00857B90">
      <w:pPr>
        <w:rPr>
          <w:sz w:val="20"/>
        </w:rPr>
      </w:pPr>
    </w:p>
    <w:p w14:paraId="79D4876D" w14:textId="77777777" w:rsidR="00857B90" w:rsidRPr="001F63AD" w:rsidRDefault="00857B90" w:rsidP="00857B90">
      <w:pPr>
        <w:rPr>
          <w:sz w:val="20"/>
        </w:rPr>
      </w:pPr>
    </w:p>
    <w:p w14:paraId="695C5988" w14:textId="77777777" w:rsidR="00857B90" w:rsidRPr="001F63AD" w:rsidRDefault="00857B90" w:rsidP="00857B90">
      <w:pPr>
        <w:rPr>
          <w:color w:val="FF0000"/>
          <w:sz w:val="20"/>
        </w:rPr>
      </w:pPr>
      <w:r w:rsidRPr="001F63AD">
        <w:rPr>
          <w:color w:val="FF0000"/>
          <w:sz w:val="20"/>
        </w:rPr>
        <w:t>[</w:t>
      </w:r>
      <w:r w:rsidRPr="001F63AD">
        <w:rPr>
          <w:i/>
          <w:color w:val="FF0000"/>
          <w:sz w:val="20"/>
        </w:rPr>
        <w:t>Name and position of Delegate</w:t>
      </w:r>
      <w:r w:rsidRPr="001F63AD">
        <w:rPr>
          <w:color w:val="FF0000"/>
          <w:sz w:val="20"/>
        </w:rPr>
        <w:t>]</w:t>
      </w:r>
    </w:p>
    <w:p w14:paraId="16E396D7" w14:textId="77777777" w:rsidR="00857B90" w:rsidRPr="001F63AD" w:rsidRDefault="00857B90" w:rsidP="00857B90">
      <w:pPr>
        <w:rPr>
          <w:sz w:val="20"/>
        </w:rPr>
      </w:pPr>
      <w:r w:rsidRPr="001F63AD">
        <w:rPr>
          <w:sz w:val="20"/>
        </w:rPr>
        <w:t>Delegate of the Board of Food Standards Australia New Zealand</w:t>
      </w:r>
    </w:p>
    <w:p w14:paraId="341E872E" w14:textId="77777777" w:rsidR="00857B90" w:rsidRPr="001F63AD" w:rsidRDefault="00857B90" w:rsidP="00857B90">
      <w:pPr>
        <w:rPr>
          <w:sz w:val="20"/>
        </w:rPr>
      </w:pPr>
    </w:p>
    <w:p w14:paraId="1234B7B8" w14:textId="77777777" w:rsidR="00857B90" w:rsidRPr="001F63AD" w:rsidRDefault="00857B90" w:rsidP="00857B90">
      <w:pPr>
        <w:rPr>
          <w:sz w:val="20"/>
        </w:rPr>
      </w:pPr>
    </w:p>
    <w:p w14:paraId="0B78D6AD" w14:textId="77777777" w:rsidR="00857B90" w:rsidRPr="001F63AD" w:rsidRDefault="00857B90" w:rsidP="00857B90">
      <w:pPr>
        <w:rPr>
          <w:sz w:val="20"/>
        </w:rPr>
      </w:pPr>
    </w:p>
    <w:p w14:paraId="35D0739B" w14:textId="77777777" w:rsidR="00857B90" w:rsidRPr="001F63AD" w:rsidRDefault="00857B90" w:rsidP="00857B90">
      <w:pPr>
        <w:rPr>
          <w:sz w:val="20"/>
        </w:rPr>
      </w:pPr>
    </w:p>
    <w:p w14:paraId="18EFC319" w14:textId="77777777" w:rsidR="00857B90" w:rsidRPr="001F63AD" w:rsidRDefault="00857B90" w:rsidP="00857B90">
      <w:pPr>
        <w:rPr>
          <w:sz w:val="20"/>
        </w:rPr>
      </w:pPr>
    </w:p>
    <w:p w14:paraId="411C5BFE" w14:textId="77777777" w:rsidR="00857B90" w:rsidRPr="001F63AD" w:rsidRDefault="00857B90" w:rsidP="00857B90">
      <w:pPr>
        <w:pBdr>
          <w:top w:val="single" w:sz="4" w:space="1" w:color="auto"/>
          <w:left w:val="single" w:sz="4" w:space="4" w:color="auto"/>
          <w:bottom w:val="single" w:sz="4" w:space="1" w:color="auto"/>
          <w:right w:val="single" w:sz="4" w:space="4" w:color="auto"/>
        </w:pBdr>
        <w:rPr>
          <w:b/>
          <w:sz w:val="20"/>
          <w:lang w:val="en-AU"/>
        </w:rPr>
      </w:pPr>
      <w:r w:rsidRPr="001F63AD">
        <w:rPr>
          <w:b/>
          <w:sz w:val="20"/>
          <w:lang w:val="en-AU"/>
        </w:rPr>
        <w:t xml:space="preserve">Note:  </w:t>
      </w:r>
    </w:p>
    <w:p w14:paraId="7801E4CE" w14:textId="77777777" w:rsidR="00857B90" w:rsidRPr="001F63AD" w:rsidRDefault="00857B90" w:rsidP="00857B90">
      <w:pPr>
        <w:pBdr>
          <w:top w:val="single" w:sz="4" w:space="1" w:color="auto"/>
          <w:left w:val="single" w:sz="4" w:space="4" w:color="auto"/>
          <w:bottom w:val="single" w:sz="4" w:space="1" w:color="auto"/>
          <w:right w:val="single" w:sz="4" w:space="4" w:color="auto"/>
        </w:pBdr>
        <w:rPr>
          <w:sz w:val="20"/>
          <w:lang w:val="en-AU"/>
        </w:rPr>
      </w:pPr>
    </w:p>
    <w:p w14:paraId="7BB3A240" w14:textId="77777777" w:rsidR="00857B90" w:rsidRPr="001F63AD" w:rsidRDefault="00857B90" w:rsidP="00857B90">
      <w:pPr>
        <w:pBdr>
          <w:top w:val="single" w:sz="4" w:space="1" w:color="auto"/>
          <w:left w:val="single" w:sz="4" w:space="4" w:color="auto"/>
          <w:bottom w:val="single" w:sz="4" w:space="1" w:color="auto"/>
          <w:right w:val="single" w:sz="4" w:space="4" w:color="auto"/>
        </w:pBdr>
        <w:rPr>
          <w:sz w:val="20"/>
          <w:lang w:val="en-AU"/>
        </w:rPr>
      </w:pPr>
      <w:r w:rsidRPr="001F63AD">
        <w:rPr>
          <w:sz w:val="20"/>
          <w:lang w:val="en-AU"/>
        </w:rPr>
        <w:t xml:space="preserve">This variation will be published in the Commonwealth of Australia Gazette No. FSC </w:t>
      </w:r>
      <w:r w:rsidRPr="001F63AD">
        <w:rPr>
          <w:color w:val="FF0000"/>
          <w:sz w:val="20"/>
          <w:lang w:val="en-AU"/>
        </w:rPr>
        <w:t>XX on XX Month 20XX</w:t>
      </w:r>
      <w:r w:rsidRPr="001F63AD">
        <w:rPr>
          <w:sz w:val="20"/>
          <w:lang w:val="en-AU"/>
        </w:rPr>
        <w:t xml:space="preserve">. This means that this date is the gazettal date for the purposes of clause 3 of the variation. </w:t>
      </w:r>
    </w:p>
    <w:p w14:paraId="35647559" w14:textId="77777777" w:rsidR="00857B90" w:rsidRPr="001F63AD" w:rsidRDefault="00857B90" w:rsidP="00857B90">
      <w:pPr>
        <w:rPr>
          <w:sz w:val="20"/>
        </w:rPr>
      </w:pPr>
    </w:p>
    <w:p w14:paraId="69F6BA29" w14:textId="77777777" w:rsidR="00857B90" w:rsidRPr="001F63AD" w:rsidRDefault="00857B90" w:rsidP="00857B90">
      <w:pPr>
        <w:rPr>
          <w:sz w:val="20"/>
        </w:rPr>
      </w:pPr>
      <w:r w:rsidRPr="001F63AD">
        <w:rPr>
          <w:sz w:val="20"/>
        </w:rPr>
        <w:br w:type="page"/>
      </w:r>
    </w:p>
    <w:p w14:paraId="3950A723" w14:textId="77777777" w:rsidR="00857B90" w:rsidRPr="001F63AD" w:rsidRDefault="00857B90" w:rsidP="00857B90">
      <w:pPr>
        <w:pStyle w:val="FSCDraftingitemheading"/>
      </w:pPr>
      <w:r w:rsidRPr="001F63AD">
        <w:lastRenderedPageBreak/>
        <w:t>1</w:t>
      </w:r>
      <w:r w:rsidRPr="001F63AD">
        <w:tab/>
        <w:t>Name</w:t>
      </w:r>
    </w:p>
    <w:p w14:paraId="6628C74C" w14:textId="2999C350" w:rsidR="00857B90" w:rsidRPr="001F63AD" w:rsidRDefault="00857B90" w:rsidP="00857B90">
      <w:pPr>
        <w:pStyle w:val="FSCDraftingitem"/>
      </w:pPr>
      <w:r w:rsidRPr="001F63AD">
        <w:t xml:space="preserve">This instrument is the </w:t>
      </w:r>
      <w:r w:rsidRPr="001F63AD">
        <w:rPr>
          <w:i/>
        </w:rPr>
        <w:t xml:space="preserve">Food Standards </w:t>
      </w:r>
      <w:r w:rsidR="001F63AD" w:rsidRPr="001F63AD">
        <w:rPr>
          <w:i/>
          <w:iCs/>
        </w:rPr>
        <w:t xml:space="preserve">(Application A1228 – Endo-1,4-beta-xylanase from GM </w:t>
      </w:r>
      <w:r w:rsidR="001F63AD" w:rsidRPr="001F63AD">
        <w:t xml:space="preserve">Trichoderma </w:t>
      </w:r>
      <w:proofErr w:type="spellStart"/>
      <w:r w:rsidR="001F63AD" w:rsidRPr="001F63AD">
        <w:t>reesei</w:t>
      </w:r>
      <w:proofErr w:type="spellEnd"/>
      <w:r w:rsidR="001F63AD" w:rsidRPr="001F63AD">
        <w:rPr>
          <w:i/>
          <w:iCs/>
        </w:rPr>
        <w:t xml:space="preserve"> (gene donor: </w:t>
      </w:r>
      <w:proofErr w:type="spellStart"/>
      <w:r w:rsidR="001F63AD" w:rsidRPr="001F63AD">
        <w:t>Talaromyces</w:t>
      </w:r>
      <w:proofErr w:type="spellEnd"/>
      <w:r w:rsidR="001F63AD" w:rsidRPr="001F63AD">
        <w:t xml:space="preserve"> </w:t>
      </w:r>
      <w:proofErr w:type="spellStart"/>
      <w:r w:rsidR="001F63AD" w:rsidRPr="001F63AD">
        <w:t>leycettanus</w:t>
      </w:r>
      <w:proofErr w:type="spellEnd"/>
      <w:r w:rsidR="001F63AD" w:rsidRPr="001F63AD">
        <w:rPr>
          <w:i/>
          <w:iCs/>
        </w:rPr>
        <w:t xml:space="preserve">) </w:t>
      </w:r>
      <w:r w:rsidRPr="001F63AD">
        <w:rPr>
          <w:i/>
        </w:rPr>
        <w:t>as a processing aid) Variation</w:t>
      </w:r>
      <w:r w:rsidRPr="001F63AD">
        <w:t>.</w:t>
      </w:r>
    </w:p>
    <w:p w14:paraId="4572A9CB" w14:textId="2A046326" w:rsidR="00857B90" w:rsidRPr="001F63AD" w:rsidRDefault="00857B90" w:rsidP="00857B90">
      <w:pPr>
        <w:pStyle w:val="FSCDraftingitemheading"/>
      </w:pPr>
      <w:r w:rsidRPr="001F63AD">
        <w:t>2</w:t>
      </w:r>
      <w:r w:rsidRPr="001F63AD">
        <w:tab/>
        <w:t xml:space="preserve">Variation to a standard in the </w:t>
      </w:r>
      <w:r w:rsidRPr="001F63AD">
        <w:rPr>
          <w:i/>
        </w:rPr>
        <w:t>Australia New Zealand Food Standards Code</w:t>
      </w:r>
    </w:p>
    <w:p w14:paraId="5AE89BE6" w14:textId="1EA307B8" w:rsidR="00857B90" w:rsidRPr="001F63AD" w:rsidRDefault="00857B90" w:rsidP="00857B90">
      <w:pPr>
        <w:pStyle w:val="FSCDraftingitem"/>
      </w:pPr>
      <w:r w:rsidRPr="001F63AD">
        <w:t xml:space="preserve">The Schedule varies a Standard in the </w:t>
      </w:r>
      <w:r w:rsidRPr="00C8594A">
        <w:rPr>
          <w:iCs/>
        </w:rPr>
        <w:t>Australia New Zealand Food Standards Code</w:t>
      </w:r>
      <w:r w:rsidRPr="001F63AD">
        <w:t>.</w:t>
      </w:r>
    </w:p>
    <w:p w14:paraId="28B1A783" w14:textId="77777777" w:rsidR="00857B90" w:rsidRPr="001F63AD" w:rsidRDefault="00857B90" w:rsidP="00857B90">
      <w:pPr>
        <w:pStyle w:val="FSCDraftingitemheading"/>
      </w:pPr>
      <w:r w:rsidRPr="001F63AD">
        <w:t>3</w:t>
      </w:r>
      <w:r w:rsidRPr="001F63AD">
        <w:tab/>
        <w:t>Commencement</w:t>
      </w:r>
    </w:p>
    <w:p w14:paraId="42742814" w14:textId="77777777" w:rsidR="00857B90" w:rsidRPr="001F63AD" w:rsidRDefault="00857B90" w:rsidP="00857B90">
      <w:pPr>
        <w:pStyle w:val="FSCDraftingitem"/>
      </w:pPr>
      <w:r w:rsidRPr="001F63AD">
        <w:t>The variation commences on the date of gazettal.</w:t>
      </w:r>
    </w:p>
    <w:p w14:paraId="7D3258C9" w14:textId="77777777" w:rsidR="00857B90" w:rsidRPr="001F63AD" w:rsidRDefault="00857B90" w:rsidP="00857B90">
      <w:pPr>
        <w:jc w:val="center"/>
        <w:rPr>
          <w:b/>
          <w:sz w:val="20"/>
        </w:rPr>
      </w:pPr>
      <w:r w:rsidRPr="001F63AD">
        <w:rPr>
          <w:b/>
          <w:sz w:val="20"/>
        </w:rPr>
        <w:t>Schedule</w:t>
      </w:r>
    </w:p>
    <w:p w14:paraId="0F8508D7" w14:textId="0AE68CDD" w:rsidR="00857B90" w:rsidRPr="001F63AD" w:rsidRDefault="00857B90" w:rsidP="00857B90">
      <w:pPr>
        <w:pStyle w:val="FSCDraftingitemheading"/>
        <w:rPr>
          <w:color w:val="000000" w:themeColor="text1"/>
        </w:rPr>
      </w:pPr>
      <w:r w:rsidRPr="001F63AD">
        <w:rPr>
          <w:color w:val="000000" w:themeColor="text1"/>
          <w:lang w:bidi="en-US"/>
        </w:rPr>
        <w:t>Schedule 18</w:t>
      </w:r>
      <w:r w:rsidRPr="001F63AD">
        <w:rPr>
          <w:lang w:bidi="en-US"/>
        </w:rPr>
        <w:t>—Processing aids</w:t>
      </w:r>
    </w:p>
    <w:p w14:paraId="7DB0D048" w14:textId="77777777" w:rsidR="00857B90" w:rsidRPr="001F63AD" w:rsidRDefault="00857B90" w:rsidP="00857B90">
      <w:pPr>
        <w:pStyle w:val="FSCDraftingitemheading"/>
      </w:pPr>
      <w:r w:rsidRPr="001F63AD">
        <w:rPr>
          <w:color w:val="000000" w:themeColor="text1"/>
        </w:rPr>
        <w:t>[1]</w:t>
      </w:r>
      <w:r w:rsidRPr="001F63AD">
        <w:rPr>
          <w:color w:val="000000" w:themeColor="text1"/>
        </w:rPr>
        <w:tab/>
      </w:r>
      <w:r w:rsidRPr="001F63AD">
        <w:t>Subsection S18—9(3) (table)</w:t>
      </w:r>
    </w:p>
    <w:p w14:paraId="0333527F" w14:textId="77777777" w:rsidR="00857B90" w:rsidRPr="001F63AD" w:rsidRDefault="00857B90" w:rsidP="00857B90">
      <w:pPr>
        <w:pStyle w:val="FSCDraftingitem"/>
      </w:pPr>
      <w:r w:rsidRPr="001F63AD">
        <w:tab/>
        <w:t>Insert:</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1F63AD" w:rsidRPr="00781D6B" w14:paraId="2BEE008C" w14:textId="77777777" w:rsidTr="00C8594A">
        <w:trPr>
          <w:jc w:val="center"/>
        </w:trPr>
        <w:tc>
          <w:tcPr>
            <w:tcW w:w="3120" w:type="dxa"/>
          </w:tcPr>
          <w:p w14:paraId="13AE0A20" w14:textId="77777777" w:rsidR="001F63AD" w:rsidRPr="00F50B38" w:rsidRDefault="001F63AD" w:rsidP="00C8594A">
            <w:pPr>
              <w:pStyle w:val="FSCtblMain"/>
              <w:rPr>
                <w:i/>
                <w:iCs/>
              </w:rPr>
            </w:pPr>
            <w:r>
              <w:t>Endo-1</w:t>
            </w:r>
            <w:r w:rsidRPr="006F24F0">
              <w:t>,4</w:t>
            </w:r>
            <w:r>
              <w:t xml:space="preserve">-beta-xylanase (EC 3.2.1.8) sourced from </w:t>
            </w:r>
            <w:r w:rsidRPr="7805CA24">
              <w:rPr>
                <w:i/>
                <w:iCs/>
              </w:rPr>
              <w:t xml:space="preserve">Trichoderma </w:t>
            </w:r>
            <w:proofErr w:type="spellStart"/>
            <w:r w:rsidRPr="7805CA24">
              <w:rPr>
                <w:i/>
                <w:iCs/>
              </w:rPr>
              <w:t>reesei</w:t>
            </w:r>
            <w:proofErr w:type="spellEnd"/>
            <w:r>
              <w:t xml:space="preserve"> containing the endo-1,4-beta-xylanase gene from </w:t>
            </w:r>
            <w:proofErr w:type="spellStart"/>
            <w:r w:rsidRPr="7805CA24">
              <w:rPr>
                <w:i/>
                <w:iCs/>
              </w:rPr>
              <w:t>Talaromyces</w:t>
            </w:r>
            <w:proofErr w:type="spellEnd"/>
            <w:r w:rsidRPr="7805CA24">
              <w:rPr>
                <w:i/>
                <w:iCs/>
              </w:rPr>
              <w:t xml:space="preserve"> </w:t>
            </w:r>
            <w:proofErr w:type="spellStart"/>
            <w:r w:rsidRPr="7805CA24">
              <w:rPr>
                <w:i/>
                <w:iCs/>
              </w:rPr>
              <w:t>leycettanus</w:t>
            </w:r>
            <w:proofErr w:type="spellEnd"/>
          </w:p>
        </w:tc>
        <w:tc>
          <w:tcPr>
            <w:tcW w:w="3603" w:type="dxa"/>
          </w:tcPr>
          <w:p w14:paraId="16C72A52" w14:textId="77777777" w:rsidR="001F63AD" w:rsidRDefault="001F63AD" w:rsidP="00C8594A">
            <w:pPr>
              <w:pStyle w:val="FSCtblMain"/>
            </w:pPr>
            <w:r w:rsidRPr="00C1327C">
              <w:t>For use in</w:t>
            </w:r>
            <w:r>
              <w:t>:</w:t>
            </w:r>
          </w:p>
          <w:p w14:paraId="71AF4435" w14:textId="77777777" w:rsidR="001F63AD" w:rsidRPr="00EB305C" w:rsidRDefault="001F63AD" w:rsidP="004D0ABD">
            <w:pPr>
              <w:pStyle w:val="FSCtblPara"/>
              <w:numPr>
                <w:ilvl w:val="0"/>
                <w:numId w:val="8"/>
              </w:numPr>
            </w:pPr>
            <w:r w:rsidRPr="00EB305C">
              <w:t>brewing</w:t>
            </w:r>
            <w:r>
              <w:t>; and</w:t>
            </w:r>
          </w:p>
          <w:p w14:paraId="6BD89CD6" w14:textId="77777777" w:rsidR="001F63AD" w:rsidRPr="00EB305C" w:rsidRDefault="001F63AD" w:rsidP="004D0ABD">
            <w:pPr>
              <w:pStyle w:val="FSCtblPara"/>
              <w:numPr>
                <w:ilvl w:val="0"/>
                <w:numId w:val="8"/>
              </w:numPr>
            </w:pPr>
            <w:r w:rsidRPr="00EB305C">
              <w:t>fats and oils processing</w:t>
            </w:r>
            <w:r>
              <w:t>; and</w:t>
            </w:r>
          </w:p>
          <w:p w14:paraId="7005BA0C" w14:textId="77777777" w:rsidR="001F63AD" w:rsidRPr="00EB305C" w:rsidRDefault="001F63AD" w:rsidP="004D0ABD">
            <w:pPr>
              <w:pStyle w:val="FSCtblPara"/>
              <w:numPr>
                <w:ilvl w:val="0"/>
                <w:numId w:val="8"/>
              </w:numPr>
            </w:pPr>
            <w:r w:rsidRPr="00EB305C">
              <w:t>grain processing</w:t>
            </w:r>
            <w:r>
              <w:t>; and</w:t>
            </w:r>
          </w:p>
          <w:p w14:paraId="26BF4563" w14:textId="77777777" w:rsidR="001F63AD" w:rsidRPr="00C1327C" w:rsidRDefault="001F63AD" w:rsidP="004D0ABD">
            <w:pPr>
              <w:pStyle w:val="FSCtblPara"/>
              <w:numPr>
                <w:ilvl w:val="0"/>
                <w:numId w:val="8"/>
              </w:numPr>
            </w:pPr>
            <w:r>
              <w:t xml:space="preserve">the production of </w:t>
            </w:r>
            <w:r w:rsidRPr="00EB305C">
              <w:t>potable alcohol</w:t>
            </w:r>
            <w:r>
              <w:t>.</w:t>
            </w:r>
          </w:p>
        </w:tc>
        <w:tc>
          <w:tcPr>
            <w:tcW w:w="2349" w:type="dxa"/>
          </w:tcPr>
          <w:p w14:paraId="12D5B784" w14:textId="77777777" w:rsidR="001F63AD" w:rsidRPr="00781D6B" w:rsidRDefault="001F63AD" w:rsidP="00C8594A">
            <w:pPr>
              <w:pStyle w:val="FSCtMain"/>
            </w:pPr>
            <w:r w:rsidRPr="00781D6B">
              <w:t>GMP</w:t>
            </w:r>
          </w:p>
        </w:tc>
      </w:tr>
    </w:tbl>
    <w:p w14:paraId="71A96BAD" w14:textId="77777777" w:rsidR="00857B90" w:rsidRPr="00857B90" w:rsidRDefault="00857B90" w:rsidP="00857B90">
      <w:pPr>
        <w:pStyle w:val="FSCDraftingitem"/>
        <w:rPr>
          <w:highlight w:val="yellow"/>
        </w:rPr>
      </w:pPr>
    </w:p>
    <w:p w14:paraId="0B94B8A6" w14:textId="77777777" w:rsidR="00857B90" w:rsidRPr="00857B90" w:rsidRDefault="00857B90" w:rsidP="00857B90">
      <w:pPr>
        <w:rPr>
          <w:rFonts w:cs="Arial"/>
          <w:b/>
          <w:bCs/>
          <w:i/>
          <w:sz w:val="28"/>
          <w:szCs w:val="22"/>
          <w:highlight w:val="yellow"/>
          <w:lang w:bidi="ar-SA"/>
        </w:rPr>
      </w:pPr>
      <w:r w:rsidRPr="00857B90">
        <w:rPr>
          <w:i/>
          <w:highlight w:val="yellow"/>
        </w:rPr>
        <w:br w:type="page"/>
      </w:r>
    </w:p>
    <w:p w14:paraId="637C61E3" w14:textId="77777777" w:rsidR="00857B90" w:rsidRPr="001F63AD" w:rsidRDefault="00857B90" w:rsidP="00857B90">
      <w:pPr>
        <w:pStyle w:val="Heading2"/>
        <w:ind w:left="0" w:firstLine="0"/>
      </w:pPr>
      <w:bookmarkStart w:id="134" w:name="_Toc100584112"/>
      <w:bookmarkStart w:id="135" w:name="_Toc110607929"/>
      <w:bookmarkStart w:id="136" w:name="_Toc124343523"/>
      <w:bookmarkStart w:id="137" w:name="_Toc132711441"/>
      <w:r w:rsidRPr="001F63AD">
        <w:lastRenderedPageBreak/>
        <w:t>Attachment B</w:t>
      </w:r>
      <w:bookmarkEnd w:id="134"/>
      <w:bookmarkEnd w:id="135"/>
      <w:bookmarkEnd w:id="136"/>
      <w:bookmarkEnd w:id="137"/>
    </w:p>
    <w:p w14:paraId="35C43A66" w14:textId="77777777" w:rsidR="00857B90" w:rsidRPr="001F63AD" w:rsidRDefault="00857B90" w:rsidP="00857B90">
      <w:pPr>
        <w:jc w:val="center"/>
        <w:rPr>
          <w:b/>
          <w:caps/>
          <w:szCs w:val="22"/>
          <w:u w:val="single"/>
          <w:lang w:bidi="ar-SA"/>
        </w:rPr>
      </w:pPr>
      <w:r w:rsidRPr="001F63AD">
        <w:rPr>
          <w:b/>
          <w:caps/>
          <w:u w:val="single"/>
        </w:rPr>
        <w:t>Explanatory Statement</w:t>
      </w:r>
    </w:p>
    <w:p w14:paraId="44013B56" w14:textId="77777777" w:rsidR="00857B90" w:rsidRPr="001F63AD" w:rsidRDefault="00857B90" w:rsidP="00857B90">
      <w:pPr>
        <w:shd w:val="clear" w:color="auto" w:fill="FFFFFF"/>
        <w:spacing w:after="200" w:line="253" w:lineRule="atLeast"/>
        <w:jc w:val="center"/>
        <w:rPr>
          <w:rFonts w:cs="Arial"/>
          <w:i/>
          <w:iCs/>
          <w:color w:val="000000"/>
          <w:lang w:val="en-AU" w:eastAsia="en-GB"/>
        </w:rPr>
      </w:pPr>
      <w:r w:rsidRPr="001F63AD">
        <w:rPr>
          <w:rFonts w:cs="Arial"/>
          <w:i/>
          <w:iCs/>
          <w:color w:val="000000"/>
          <w:lang w:val="en-AU" w:eastAsia="en-GB"/>
        </w:rPr>
        <w:t>Food Standards Australia New Zealand Act 1991</w:t>
      </w:r>
    </w:p>
    <w:p w14:paraId="7E4E3BBD" w14:textId="60E632F7" w:rsidR="00857B90" w:rsidRPr="001F63AD" w:rsidRDefault="00857B90" w:rsidP="00857B90">
      <w:pPr>
        <w:shd w:val="clear" w:color="auto" w:fill="FFFFFF"/>
        <w:spacing w:after="200" w:line="253" w:lineRule="atLeast"/>
        <w:jc w:val="center"/>
        <w:rPr>
          <w:b/>
          <w:bCs/>
          <w:color w:val="000000"/>
          <w:lang w:eastAsia="en-GB"/>
        </w:rPr>
      </w:pPr>
      <w:r w:rsidRPr="001F63AD">
        <w:rPr>
          <w:b/>
          <w:bCs/>
          <w:i/>
        </w:rPr>
        <w:t xml:space="preserve">Food Standards </w:t>
      </w:r>
      <w:bookmarkStart w:id="138" w:name="_Hlk132358818"/>
      <w:r w:rsidR="001F63AD" w:rsidRPr="001F63AD">
        <w:rPr>
          <w:b/>
          <w:bCs/>
          <w:i/>
          <w:iCs/>
        </w:rPr>
        <w:t xml:space="preserve">(Application A1228 – Endo-1,4-beta-xylanase from GM </w:t>
      </w:r>
      <w:r w:rsidR="001F63AD" w:rsidRPr="001F63AD">
        <w:rPr>
          <w:b/>
          <w:bCs/>
        </w:rPr>
        <w:t xml:space="preserve">Trichoderma </w:t>
      </w:r>
      <w:proofErr w:type="spellStart"/>
      <w:r w:rsidR="001F63AD" w:rsidRPr="001F63AD">
        <w:rPr>
          <w:b/>
          <w:bCs/>
        </w:rPr>
        <w:t>reesei</w:t>
      </w:r>
      <w:proofErr w:type="spellEnd"/>
      <w:r w:rsidR="001F63AD" w:rsidRPr="001F63AD">
        <w:rPr>
          <w:b/>
          <w:bCs/>
          <w:i/>
          <w:iCs/>
        </w:rPr>
        <w:t xml:space="preserve"> (gene donor: </w:t>
      </w:r>
      <w:proofErr w:type="spellStart"/>
      <w:r w:rsidR="001F63AD" w:rsidRPr="001F63AD">
        <w:rPr>
          <w:b/>
          <w:bCs/>
        </w:rPr>
        <w:t>Talaromyces</w:t>
      </w:r>
      <w:proofErr w:type="spellEnd"/>
      <w:r w:rsidR="001F63AD" w:rsidRPr="001F63AD">
        <w:rPr>
          <w:b/>
          <w:bCs/>
        </w:rPr>
        <w:t xml:space="preserve"> </w:t>
      </w:r>
      <w:proofErr w:type="spellStart"/>
      <w:r w:rsidR="001F63AD" w:rsidRPr="001F63AD">
        <w:rPr>
          <w:b/>
          <w:bCs/>
        </w:rPr>
        <w:t>leycettanus</w:t>
      </w:r>
      <w:proofErr w:type="spellEnd"/>
      <w:r w:rsidR="001F63AD" w:rsidRPr="001F63AD">
        <w:rPr>
          <w:b/>
          <w:bCs/>
          <w:i/>
          <w:iCs/>
        </w:rPr>
        <w:t xml:space="preserve">) </w:t>
      </w:r>
      <w:r w:rsidRPr="001F63AD">
        <w:rPr>
          <w:b/>
          <w:bCs/>
          <w:i/>
        </w:rPr>
        <w:t>as a processing aid</w:t>
      </w:r>
      <w:bookmarkEnd w:id="138"/>
      <w:r w:rsidRPr="001F63AD">
        <w:rPr>
          <w:b/>
          <w:bCs/>
          <w:i/>
        </w:rPr>
        <w:t>) Variation</w:t>
      </w:r>
    </w:p>
    <w:p w14:paraId="1A56B846" w14:textId="77777777" w:rsidR="00857B90" w:rsidRPr="001F63AD" w:rsidRDefault="00857B90" w:rsidP="00857B90">
      <w:pPr>
        <w:rPr>
          <w:b/>
          <w:lang w:val="en-AU" w:eastAsia="en-GB" w:bidi="ar-SA"/>
        </w:rPr>
      </w:pPr>
      <w:r w:rsidRPr="001F63AD">
        <w:rPr>
          <w:b/>
          <w:lang w:val="en-AU" w:eastAsia="en-GB" w:bidi="ar-SA"/>
        </w:rPr>
        <w:t>1.</w:t>
      </w:r>
      <w:r w:rsidRPr="001F63AD">
        <w:rPr>
          <w:b/>
          <w:lang w:val="en-AU" w:eastAsia="en-GB" w:bidi="ar-SA"/>
        </w:rPr>
        <w:tab/>
        <w:t>Authority</w:t>
      </w:r>
    </w:p>
    <w:p w14:paraId="0BE81D97" w14:textId="77777777" w:rsidR="00857B90" w:rsidRPr="001F63AD" w:rsidRDefault="00857B90" w:rsidP="00857B90">
      <w:pPr>
        <w:autoSpaceDE w:val="0"/>
        <w:autoSpaceDN w:val="0"/>
        <w:adjustRightInd w:val="0"/>
        <w:rPr>
          <w:rFonts w:eastAsia="Calibri" w:cs="Arial"/>
          <w:bCs/>
          <w:szCs w:val="22"/>
          <w:lang w:val="en-AU" w:bidi="ar-SA"/>
        </w:rPr>
      </w:pPr>
      <w:r w:rsidRPr="001F63AD">
        <w:rPr>
          <w:rFonts w:eastAsia="Calibri" w:cs="Arial"/>
          <w:bCs/>
          <w:szCs w:val="22"/>
          <w:lang w:val="en-AU" w:bidi="ar-SA"/>
        </w:rPr>
        <w:t xml:space="preserve">Section 13 of the </w:t>
      </w:r>
      <w:r w:rsidRPr="001F63AD">
        <w:rPr>
          <w:rFonts w:eastAsia="Calibri" w:cs="Arial"/>
          <w:bCs/>
          <w:i/>
          <w:szCs w:val="22"/>
          <w:lang w:val="en-AU" w:bidi="ar-SA"/>
        </w:rPr>
        <w:t>Food Standards Australia New Zealand Act 1991</w:t>
      </w:r>
      <w:r w:rsidRPr="001F63AD">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1F63AD">
        <w:rPr>
          <w:rFonts w:eastAsia="Calibri" w:cs="Arial"/>
          <w:bCs/>
          <w:i/>
          <w:szCs w:val="22"/>
          <w:lang w:val="en-AU" w:bidi="ar-SA"/>
        </w:rPr>
        <w:t>Australia New Zealand Food Standards Code</w:t>
      </w:r>
      <w:r w:rsidRPr="001F63AD">
        <w:rPr>
          <w:rFonts w:eastAsia="Calibri" w:cs="Arial"/>
          <w:bCs/>
          <w:szCs w:val="22"/>
          <w:lang w:val="en-AU" w:bidi="ar-SA"/>
        </w:rPr>
        <w:t xml:space="preserve"> (the Code).</w:t>
      </w:r>
    </w:p>
    <w:p w14:paraId="62C3DA42" w14:textId="77777777" w:rsidR="00857B90" w:rsidRPr="001F63AD" w:rsidRDefault="00857B90" w:rsidP="00857B90">
      <w:pPr>
        <w:autoSpaceDE w:val="0"/>
        <w:autoSpaceDN w:val="0"/>
        <w:adjustRightInd w:val="0"/>
        <w:rPr>
          <w:rFonts w:eastAsia="Calibri" w:cs="Arial"/>
          <w:bCs/>
          <w:szCs w:val="22"/>
          <w:lang w:val="en-AU" w:bidi="ar-SA"/>
        </w:rPr>
      </w:pPr>
      <w:r w:rsidRPr="001F63AD">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p>
    <w:p w14:paraId="275783DC" w14:textId="19232E1F" w:rsidR="001F63AD" w:rsidRPr="00137BAC" w:rsidRDefault="005862EC" w:rsidP="001F63AD">
      <w:pPr>
        <w:autoSpaceDE w:val="0"/>
        <w:autoSpaceDN w:val="0"/>
        <w:adjustRightInd w:val="0"/>
        <w:rPr>
          <w:rFonts w:eastAsia="Calibri" w:cs="Arial"/>
          <w:lang w:val="en-AU" w:bidi="ar-SA"/>
        </w:rPr>
      </w:pPr>
      <w:r>
        <w:t xml:space="preserve">The purpose of the application was </w:t>
      </w:r>
      <w:r w:rsidRPr="004D0ABD">
        <w:rPr>
          <w:lang w:val="en-AU" w:eastAsia="en-GB" w:bidi="ar-SA"/>
        </w:rPr>
        <w:t xml:space="preserve">to permit the use of the enzyme </w:t>
      </w:r>
      <w:r w:rsidRPr="004D0ABD">
        <w:rPr>
          <w:rFonts w:cs="Arial"/>
        </w:rPr>
        <w:t>endo-1,4-beta-xylanase</w:t>
      </w:r>
      <w:r w:rsidRPr="004D0ABD">
        <w:rPr>
          <w:lang w:val="en-AU" w:eastAsia="en-GB" w:bidi="ar-SA"/>
        </w:rPr>
        <w:t xml:space="preserve"> (EC 3.2.1.8) sourced from a GM strain of </w:t>
      </w:r>
      <w:r w:rsidRPr="004D0ABD">
        <w:rPr>
          <w:rFonts w:cs="Arial"/>
          <w:i/>
          <w:iCs/>
        </w:rPr>
        <w:t xml:space="preserve">Trichoderma </w:t>
      </w:r>
      <w:proofErr w:type="spellStart"/>
      <w:r w:rsidRPr="004D0ABD">
        <w:rPr>
          <w:rFonts w:cs="Arial"/>
          <w:i/>
          <w:iCs/>
        </w:rPr>
        <w:t>re</w:t>
      </w:r>
      <w:r w:rsidRPr="004D0ABD">
        <w:rPr>
          <w:rFonts w:cs="Arial"/>
        </w:rPr>
        <w:t>esei</w:t>
      </w:r>
      <w:proofErr w:type="spellEnd"/>
      <w:r w:rsidRPr="004D0ABD">
        <w:rPr>
          <w:rFonts w:cs="Arial"/>
        </w:rPr>
        <w:t xml:space="preserve"> containing the endo</w:t>
      </w:r>
      <w:r w:rsidRPr="004D0ABD">
        <w:rPr>
          <w:rFonts w:cs="Arial"/>
        </w:rPr>
        <w:noBreakHyphen/>
        <w:t>1,4</w:t>
      </w:r>
      <w:r w:rsidRPr="004D0ABD">
        <w:rPr>
          <w:rFonts w:cs="Arial"/>
        </w:rPr>
        <w:noBreakHyphen/>
        <w:t>beta</w:t>
      </w:r>
      <w:r w:rsidRPr="004D0ABD">
        <w:rPr>
          <w:rFonts w:cs="Arial"/>
        </w:rPr>
        <w:noBreakHyphen/>
        <w:t xml:space="preserve">xylanase gene from </w:t>
      </w:r>
      <w:proofErr w:type="spellStart"/>
      <w:r w:rsidRPr="004D0ABD">
        <w:rPr>
          <w:rFonts w:cs="Arial"/>
          <w:i/>
          <w:iCs/>
        </w:rPr>
        <w:t>Talaromyces</w:t>
      </w:r>
      <w:proofErr w:type="spellEnd"/>
      <w:r w:rsidRPr="004D0ABD">
        <w:rPr>
          <w:rFonts w:cs="Arial"/>
          <w:i/>
          <w:iCs/>
        </w:rPr>
        <w:t xml:space="preserve"> </w:t>
      </w:r>
      <w:proofErr w:type="spellStart"/>
      <w:r w:rsidRPr="004D0ABD">
        <w:rPr>
          <w:rFonts w:cs="Arial"/>
          <w:i/>
          <w:iCs/>
        </w:rPr>
        <w:t>leycettanus</w:t>
      </w:r>
      <w:proofErr w:type="spellEnd"/>
      <w:r w:rsidRPr="004D0ABD">
        <w:rPr>
          <w:lang w:val="en-AU" w:eastAsia="en-GB" w:bidi="ar-SA"/>
        </w:rPr>
        <w:t xml:space="preserve">, as a processing aid in </w:t>
      </w:r>
      <w:r w:rsidRPr="004D0ABD">
        <w:t>brewing, fats and oils processing, grain processing and potable alcohol production</w:t>
      </w:r>
      <w:r w:rsidR="001F63AD" w:rsidRPr="7805CA24">
        <w:rPr>
          <w:rFonts w:eastAsia="Calibri" w:cs="Arial"/>
          <w:lang w:val="en-AU" w:bidi="ar-SA"/>
        </w:rPr>
        <w:t xml:space="preserve">. The Authority considered the Application in accordance with Division 1 of Part 3 and has </w:t>
      </w:r>
      <w:r w:rsidR="007075E7">
        <w:rPr>
          <w:rFonts w:eastAsia="Calibri" w:cs="Arial"/>
          <w:lang w:val="en-AU" w:bidi="ar-SA"/>
        </w:rPr>
        <w:t>approved</w:t>
      </w:r>
      <w:r w:rsidR="007075E7" w:rsidRPr="7805CA24">
        <w:rPr>
          <w:rFonts w:eastAsia="Calibri" w:cs="Arial"/>
          <w:lang w:val="en-AU" w:bidi="ar-SA"/>
        </w:rPr>
        <w:t xml:space="preserve"> </w:t>
      </w:r>
      <w:r w:rsidR="001F63AD" w:rsidRPr="7805CA24">
        <w:rPr>
          <w:rFonts w:eastAsia="Calibri" w:cs="Arial"/>
          <w:lang w:val="en-AU" w:bidi="ar-SA"/>
        </w:rPr>
        <w:t xml:space="preserve">a draft variation – the </w:t>
      </w:r>
      <w:r w:rsidR="001F63AD" w:rsidRPr="7805CA24">
        <w:rPr>
          <w:i/>
          <w:iCs/>
        </w:rPr>
        <w:t xml:space="preserve">Food Standards (Application A1228 – Endo-1,4-beta-xylanase from GM </w:t>
      </w:r>
      <w:r w:rsidR="001F63AD">
        <w:t xml:space="preserve">Trichoderma </w:t>
      </w:r>
      <w:proofErr w:type="spellStart"/>
      <w:r w:rsidR="001F63AD">
        <w:t>reesei</w:t>
      </w:r>
      <w:proofErr w:type="spellEnd"/>
      <w:r w:rsidR="001F63AD" w:rsidRPr="7805CA24">
        <w:rPr>
          <w:i/>
          <w:iCs/>
        </w:rPr>
        <w:t xml:space="preserve"> (gene donor: </w:t>
      </w:r>
      <w:proofErr w:type="spellStart"/>
      <w:r w:rsidR="001F63AD">
        <w:t>Talaromyces</w:t>
      </w:r>
      <w:proofErr w:type="spellEnd"/>
      <w:r w:rsidR="001F63AD">
        <w:t xml:space="preserve"> </w:t>
      </w:r>
      <w:proofErr w:type="spellStart"/>
      <w:r w:rsidR="001F63AD">
        <w:t>leycettanus</w:t>
      </w:r>
      <w:proofErr w:type="spellEnd"/>
      <w:r w:rsidR="001F63AD" w:rsidRPr="7805CA24">
        <w:rPr>
          <w:i/>
          <w:iCs/>
        </w:rPr>
        <w:t>) as a processing aid) Variation</w:t>
      </w:r>
      <w:r w:rsidR="001F63AD" w:rsidRPr="7805CA24">
        <w:rPr>
          <w:rFonts w:eastAsia="Calibri" w:cs="Arial"/>
          <w:lang w:val="en-AU" w:bidi="ar-SA"/>
        </w:rPr>
        <w:t xml:space="preserve">. </w:t>
      </w:r>
    </w:p>
    <w:p w14:paraId="1E292019" w14:textId="6A4131D4" w:rsidR="00857B90" w:rsidRPr="001F63AD" w:rsidRDefault="00857B90" w:rsidP="00857B90">
      <w:pPr>
        <w:autoSpaceDE w:val="0"/>
        <w:autoSpaceDN w:val="0"/>
        <w:adjustRightInd w:val="0"/>
        <w:rPr>
          <w:rFonts w:eastAsia="Calibri" w:cs="Arial"/>
          <w:bCs/>
          <w:szCs w:val="22"/>
          <w:lang w:val="en-AU" w:bidi="ar-SA"/>
        </w:rPr>
      </w:pPr>
      <w:r w:rsidRPr="001F63AD">
        <w:rPr>
          <w:rFonts w:eastAsia="Calibri" w:cs="Arial"/>
          <w:bCs/>
          <w:szCs w:val="22"/>
          <w:lang w:val="en-AU" w:bidi="ar-SA"/>
        </w:rPr>
        <w:t xml:space="preserve">Following consideration by the </w:t>
      </w:r>
      <w:r w:rsidRPr="001F63AD">
        <w:rPr>
          <w:rFonts w:cs="Helvetica"/>
          <w:lang w:val="en-AU"/>
        </w:rPr>
        <w:t>Food Ministers’ Meeting (FMM)</w:t>
      </w:r>
      <w:r w:rsidRPr="001F63AD">
        <w:rPr>
          <w:rFonts w:eastAsia="Calibri" w:cs="Arial"/>
          <w:bCs/>
          <w:szCs w:val="22"/>
          <w:lang w:val="en-AU" w:bidi="ar-SA"/>
        </w:rPr>
        <w:t>, section 92 of the FSANZ Act stipulates that the Authority must publish a notice about the draft variation.</w:t>
      </w:r>
    </w:p>
    <w:p w14:paraId="2AC11DF3" w14:textId="77777777" w:rsidR="00857B90" w:rsidRPr="001F63AD" w:rsidRDefault="00857B90" w:rsidP="00857B90">
      <w:pPr>
        <w:rPr>
          <w:b/>
          <w:lang w:val="en-AU" w:eastAsia="en-GB" w:bidi="ar-SA"/>
        </w:rPr>
      </w:pPr>
      <w:r w:rsidRPr="001F63AD">
        <w:rPr>
          <w:b/>
          <w:lang w:val="en-AU" w:eastAsia="en-GB" w:bidi="ar-SA"/>
        </w:rPr>
        <w:t>2.</w:t>
      </w:r>
      <w:r w:rsidRPr="001F63AD">
        <w:rPr>
          <w:b/>
          <w:lang w:val="en-AU" w:eastAsia="en-GB" w:bidi="ar-SA"/>
        </w:rPr>
        <w:tab/>
        <w:t>Variation will be a legislative instrument</w:t>
      </w:r>
    </w:p>
    <w:p w14:paraId="4DA6B5F7" w14:textId="73677D35" w:rsidR="00857B90" w:rsidRPr="001F63AD" w:rsidRDefault="00857B90" w:rsidP="00857B90">
      <w:pPr>
        <w:rPr>
          <w:rFonts w:cs="Arial"/>
          <w:szCs w:val="22"/>
          <w:lang w:bidi="ar-SA"/>
        </w:rPr>
      </w:pPr>
      <w:r w:rsidRPr="001F63AD">
        <w:rPr>
          <w:rFonts w:cs="Arial"/>
        </w:rPr>
        <w:t>The approved draft variation,</w:t>
      </w:r>
      <w:r w:rsidRPr="001F63AD">
        <w:rPr>
          <w:iCs/>
        </w:rPr>
        <w:t xml:space="preserve"> is</w:t>
      </w:r>
      <w:r w:rsidRPr="001F63AD">
        <w:rPr>
          <w:rFonts w:cs="Arial"/>
        </w:rPr>
        <w:t xml:space="preserve"> a legislative instrument for the purposes of the </w:t>
      </w:r>
      <w:r w:rsidRPr="001F63AD">
        <w:rPr>
          <w:rFonts w:cs="Arial"/>
          <w:i/>
          <w:iCs/>
        </w:rPr>
        <w:t>Legislation Act 2003</w:t>
      </w:r>
      <w:r w:rsidRPr="001F63AD">
        <w:rPr>
          <w:rFonts w:cs="Arial"/>
        </w:rPr>
        <w:t xml:space="preserve"> (see section 94 of the FSANZ Act) and is publicly available on the Federal Register of Legislation (</w:t>
      </w:r>
      <w:hyperlink r:id="rId22" w:history="1">
        <w:r w:rsidRPr="001F63AD">
          <w:rPr>
            <w:rFonts w:cs="Arial"/>
            <w:color w:val="3333FF"/>
            <w:u w:val="single"/>
          </w:rPr>
          <w:t>www.legislation.gov.au</w:t>
        </w:r>
      </w:hyperlink>
      <w:r w:rsidRPr="001F63AD">
        <w:rPr>
          <w:rFonts w:cs="Arial"/>
        </w:rPr>
        <w:t>).</w:t>
      </w:r>
    </w:p>
    <w:p w14:paraId="0F9F9189" w14:textId="77777777" w:rsidR="00857B90" w:rsidRPr="001F63AD" w:rsidRDefault="00857B90" w:rsidP="00857B90">
      <w:pPr>
        <w:rPr>
          <w:rFonts w:cs="Arial"/>
        </w:rPr>
      </w:pPr>
      <w:r w:rsidRPr="001F63AD">
        <w:rPr>
          <w:rFonts w:cs="Arial"/>
        </w:rPr>
        <w:t xml:space="preserve">This instrument is not subject to the disallowance or sunsetting provisions of the </w:t>
      </w:r>
      <w:r w:rsidRPr="001F63AD">
        <w:rPr>
          <w:rFonts w:cs="Arial"/>
          <w:i/>
          <w:iCs/>
        </w:rPr>
        <w:t xml:space="preserve">Legislation Act 2003. </w:t>
      </w:r>
      <w:r w:rsidRPr="001F63AD">
        <w:rPr>
          <w:rFonts w:cs="Arial"/>
        </w:rPr>
        <w:t>Subsections</w:t>
      </w:r>
      <w:r w:rsidRPr="001F63AD">
        <w:rPr>
          <w:rFonts w:cs="Arial"/>
          <w:i/>
          <w:iCs/>
        </w:rPr>
        <w:t xml:space="preserve"> </w:t>
      </w:r>
      <w:r w:rsidRPr="001F63AD">
        <w:rPr>
          <w:rFonts w:cs="Arial"/>
        </w:rPr>
        <w:t>44(1) and 54(1) of that Act</w:t>
      </w:r>
      <w:r w:rsidRPr="001F63AD">
        <w:rPr>
          <w:rFonts w:cs="Arial"/>
          <w:i/>
          <w:iCs/>
        </w:rPr>
        <w:t xml:space="preserve"> </w:t>
      </w:r>
      <w:r w:rsidRPr="001F63AD">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1F63AD">
        <w:rPr>
          <w:rFonts w:cs="Arial"/>
          <w:i/>
          <w:iCs/>
        </w:rPr>
        <w:t>Legislation (Exemptions and other Matters) Regulation 2015</w:t>
      </w:r>
      <w:r w:rsidRPr="001F63AD">
        <w:rPr>
          <w:rFonts w:cs="Arial"/>
        </w:rPr>
        <w:t xml:space="preserve"> </w:t>
      </w:r>
      <w:r w:rsidRPr="001F63AD">
        <w:rPr>
          <w:rFonts w:cs="Arial"/>
          <w:lang w:val="en"/>
        </w:rPr>
        <w:t xml:space="preserve">also exempts from sunsetting legislative instruments </w:t>
      </w:r>
      <w:r w:rsidRPr="001F63AD">
        <w:rPr>
          <w:rFonts w:cs="Arial"/>
          <w:shd w:val="clear" w:color="auto" w:fill="FFFFFF"/>
        </w:rPr>
        <w:t xml:space="preserve">a primary purpose of which is to </w:t>
      </w:r>
      <w:r w:rsidRPr="001F63AD">
        <w:rPr>
          <w:rFonts w:cs="Arial"/>
        </w:rPr>
        <w:t>give effect to an international obligation of Australia.</w:t>
      </w:r>
    </w:p>
    <w:p w14:paraId="779EEF36" w14:textId="294509B7" w:rsidR="00857B90" w:rsidRPr="001F63AD" w:rsidRDefault="00857B90" w:rsidP="00857B90">
      <w:pPr>
        <w:rPr>
          <w:rFonts w:cs="Arial"/>
          <w:lang w:val="en-AU"/>
        </w:rPr>
      </w:pPr>
      <w:r w:rsidRPr="001F63AD">
        <w:rPr>
          <w:rFonts w:cs="Arial"/>
        </w:rPr>
        <w:t xml:space="preserve">The </w:t>
      </w:r>
      <w:r w:rsidRPr="001F63AD">
        <w:rPr>
          <w:rFonts w:cs="Arial"/>
          <w:lang w:val="en-AU"/>
        </w:rPr>
        <w:t>FSANZ Act</w:t>
      </w:r>
      <w:r w:rsidRPr="001F63AD">
        <w:rPr>
          <w:rFonts w:cs="Arial"/>
          <w:i/>
          <w:iCs/>
          <w:lang w:val="en-AU"/>
        </w:rPr>
        <w:t xml:space="preserve"> </w:t>
      </w:r>
      <w:r w:rsidRPr="001F63AD">
        <w:rPr>
          <w:rFonts w:cs="Arial"/>
          <w:lang w:val="en-AU"/>
        </w:rPr>
        <w:t xml:space="preserve">gives effect to </w:t>
      </w:r>
      <w:r w:rsidRPr="001F63AD">
        <w:rPr>
          <w:rFonts w:cs="Arial"/>
        </w:rPr>
        <w:t xml:space="preserve">an intergovernmental agreement (the Food Regulation Agreement) and facilitates the establishment or operation of an intergovernmental scheme (national uniform food regulation). </w:t>
      </w:r>
      <w:r w:rsidRPr="001F63AD">
        <w:rPr>
          <w:rFonts w:cs="Arial"/>
          <w:lang w:val="en-AU"/>
        </w:rPr>
        <w:t>That Act also</w:t>
      </w:r>
      <w:r w:rsidRPr="001F63AD">
        <w:rPr>
          <w:rFonts w:cs="Arial"/>
          <w:i/>
          <w:iCs/>
          <w:lang w:val="en-AU"/>
        </w:rPr>
        <w:t xml:space="preserve"> </w:t>
      </w:r>
      <w:r w:rsidRPr="001F63AD">
        <w:rPr>
          <w:rFonts w:cs="Arial"/>
          <w:lang w:val="en-AU"/>
        </w:rPr>
        <w:t xml:space="preserve">gives effect to Australia’s obligations under an international agreement between Australia and New Zealand. For these purposes, the Act </w:t>
      </w:r>
      <w:r w:rsidRPr="001F63AD">
        <w:rPr>
          <w:rFonts w:cs="Arial"/>
        </w:rPr>
        <w:t xml:space="preserve">establishes the Authority to </w:t>
      </w:r>
      <w:r w:rsidRPr="001F63AD">
        <w:rPr>
          <w:rFonts w:cs="Arial"/>
          <w:lang w:val="en-AU"/>
        </w:rPr>
        <w:t xml:space="preserve">develop food standards </w:t>
      </w:r>
      <w:r w:rsidRPr="001F63AD">
        <w:rPr>
          <w:rFonts w:cs="Arial"/>
        </w:rPr>
        <w:t xml:space="preserve">for consideration and endorsement by the FMM. The FMM is established under the Food Regulation Agreement and the </w:t>
      </w:r>
      <w:r w:rsidRPr="001F63AD">
        <w:rPr>
          <w:rFonts w:cs="Arial"/>
          <w:lang w:val="en-AU"/>
        </w:rPr>
        <w:t>international agreement between Australia and New Zealand</w:t>
      </w:r>
      <w:r w:rsidRPr="001F63AD">
        <w:rPr>
          <w:rFonts w:cs="Arial"/>
        </w:rPr>
        <w:t xml:space="preserve">, and consists of New Zealand, Commonwealth and State/Territory members. If endorsed by the FMM, </w:t>
      </w:r>
      <w:r w:rsidRPr="001F63AD">
        <w:rPr>
          <w:rFonts w:cs="Arial"/>
          <w:lang w:val="en-AU"/>
        </w:rPr>
        <w:t xml:space="preserve">the food standards on gazettal and registration are incorporated into and become part of Commonwealth, State and Territory and New Zealand food laws. These standards or instruments are then </w:t>
      </w:r>
      <w:r w:rsidRPr="001F63AD">
        <w:rPr>
          <w:rFonts w:cs="Arial"/>
          <w:lang w:val="en-AU"/>
        </w:rPr>
        <w:lastRenderedPageBreak/>
        <w:t>administered, applied and enforced by these jurisdictions’ regulators as part of those food laws.</w:t>
      </w:r>
    </w:p>
    <w:p w14:paraId="274BDE88" w14:textId="77777777" w:rsidR="00857B90" w:rsidRPr="001F63AD" w:rsidRDefault="00857B90" w:rsidP="00857B90">
      <w:pPr>
        <w:rPr>
          <w:b/>
          <w:lang w:val="en-AU" w:eastAsia="en-GB" w:bidi="ar-SA"/>
        </w:rPr>
      </w:pPr>
      <w:r w:rsidRPr="001F63AD">
        <w:rPr>
          <w:b/>
          <w:lang w:val="en-AU" w:eastAsia="en-GB" w:bidi="ar-SA"/>
        </w:rPr>
        <w:t>3.</w:t>
      </w:r>
      <w:r w:rsidRPr="001F63AD">
        <w:rPr>
          <w:b/>
          <w:lang w:val="en-AU" w:eastAsia="en-GB" w:bidi="ar-SA"/>
        </w:rPr>
        <w:tab/>
        <w:t>Purpose</w:t>
      </w:r>
    </w:p>
    <w:p w14:paraId="24A4E13F" w14:textId="761199D6" w:rsidR="00857B90" w:rsidRPr="004D0ABD" w:rsidRDefault="00857B90" w:rsidP="00857B90">
      <w:pPr>
        <w:rPr>
          <w:lang w:val="en-AU" w:eastAsia="en-GB" w:bidi="ar-SA"/>
        </w:rPr>
      </w:pPr>
      <w:r w:rsidRPr="004D0ABD">
        <w:rPr>
          <w:lang w:val="en-AU" w:eastAsia="en-GB" w:bidi="ar-SA"/>
        </w:rPr>
        <w:t xml:space="preserve">The Authority has approved a draft variation amending the table to subsection S18––9(3) in Schedule 18 of the Code to permit the use of the enzyme </w:t>
      </w:r>
      <w:r w:rsidR="004D0ABD" w:rsidRPr="004D0ABD">
        <w:rPr>
          <w:rFonts w:cs="Arial"/>
        </w:rPr>
        <w:t>endo-1,4-beta-xylanase</w:t>
      </w:r>
      <w:r w:rsidR="004D0ABD" w:rsidRPr="004D0ABD">
        <w:rPr>
          <w:lang w:val="en-AU" w:eastAsia="en-GB" w:bidi="ar-SA"/>
        </w:rPr>
        <w:t xml:space="preserve"> (EC 3.2.1.8) sourced from a GM strain of </w:t>
      </w:r>
      <w:r w:rsidR="004D0ABD" w:rsidRPr="004D0ABD">
        <w:rPr>
          <w:rFonts w:cs="Arial"/>
          <w:i/>
          <w:iCs/>
        </w:rPr>
        <w:t xml:space="preserve">Trichoderma </w:t>
      </w:r>
      <w:proofErr w:type="spellStart"/>
      <w:r w:rsidR="004D0ABD" w:rsidRPr="004D0ABD">
        <w:rPr>
          <w:rFonts w:cs="Arial"/>
          <w:i/>
          <w:iCs/>
        </w:rPr>
        <w:t>re</w:t>
      </w:r>
      <w:r w:rsidR="004D0ABD" w:rsidRPr="004D0ABD">
        <w:rPr>
          <w:rFonts w:cs="Arial"/>
        </w:rPr>
        <w:t>esei</w:t>
      </w:r>
      <w:proofErr w:type="spellEnd"/>
      <w:r w:rsidR="004D0ABD" w:rsidRPr="004D0ABD">
        <w:rPr>
          <w:rFonts w:cs="Arial"/>
        </w:rPr>
        <w:t xml:space="preserve"> containing the endo</w:t>
      </w:r>
      <w:r w:rsidR="004D0ABD" w:rsidRPr="004D0ABD">
        <w:rPr>
          <w:rFonts w:cs="Arial"/>
        </w:rPr>
        <w:noBreakHyphen/>
        <w:t>1,4</w:t>
      </w:r>
      <w:r w:rsidR="004D0ABD" w:rsidRPr="004D0ABD">
        <w:rPr>
          <w:rFonts w:cs="Arial"/>
        </w:rPr>
        <w:noBreakHyphen/>
        <w:t>beta</w:t>
      </w:r>
      <w:r w:rsidR="004D0ABD" w:rsidRPr="004D0ABD">
        <w:rPr>
          <w:rFonts w:cs="Arial"/>
        </w:rPr>
        <w:noBreakHyphen/>
        <w:t xml:space="preserve">xylanase gene from </w:t>
      </w:r>
      <w:proofErr w:type="spellStart"/>
      <w:r w:rsidR="004D0ABD" w:rsidRPr="004D0ABD">
        <w:rPr>
          <w:rFonts w:cs="Arial"/>
          <w:i/>
          <w:iCs/>
        </w:rPr>
        <w:t>Talaromyces</w:t>
      </w:r>
      <w:proofErr w:type="spellEnd"/>
      <w:r w:rsidR="004D0ABD" w:rsidRPr="004D0ABD">
        <w:rPr>
          <w:rFonts w:cs="Arial"/>
          <w:i/>
          <w:iCs/>
        </w:rPr>
        <w:t xml:space="preserve"> </w:t>
      </w:r>
      <w:proofErr w:type="spellStart"/>
      <w:r w:rsidR="004D0ABD" w:rsidRPr="004D0ABD">
        <w:rPr>
          <w:rFonts w:cs="Arial"/>
          <w:i/>
          <w:iCs/>
        </w:rPr>
        <w:t>leycettanus</w:t>
      </w:r>
      <w:proofErr w:type="spellEnd"/>
      <w:r w:rsidR="004D0ABD" w:rsidRPr="004D0ABD">
        <w:rPr>
          <w:lang w:val="en-AU" w:eastAsia="en-GB" w:bidi="ar-SA"/>
        </w:rPr>
        <w:t xml:space="preserve">, as a processing aid in </w:t>
      </w:r>
      <w:r w:rsidR="004D0ABD" w:rsidRPr="004D0ABD">
        <w:t>brewing, fats and oils processing, grain processing and potable alcohol production</w:t>
      </w:r>
      <w:r w:rsidRPr="004D0ABD">
        <w:rPr>
          <w:rFonts w:eastAsia="Calibri"/>
        </w:rPr>
        <w:t>.</w:t>
      </w:r>
      <w:r w:rsidRPr="004D0ABD">
        <w:rPr>
          <w:lang w:val="en-AU" w:eastAsia="en-GB" w:bidi="ar-SA"/>
        </w:rPr>
        <w:t xml:space="preserve"> This permission is subject to the condition that the amount of enzyme used must be consistent with Good Manufacturing Practice (GMP).</w:t>
      </w:r>
    </w:p>
    <w:p w14:paraId="6461FF8F" w14:textId="77777777" w:rsidR="00857B90" w:rsidRPr="004D0ABD" w:rsidRDefault="00857B90" w:rsidP="00857B90">
      <w:pPr>
        <w:rPr>
          <w:b/>
          <w:lang w:val="en-AU" w:eastAsia="en-GB" w:bidi="ar-SA"/>
        </w:rPr>
      </w:pPr>
      <w:r w:rsidRPr="004D0ABD">
        <w:rPr>
          <w:b/>
          <w:lang w:val="en-AU" w:eastAsia="en-GB" w:bidi="ar-SA"/>
        </w:rPr>
        <w:t>4.</w:t>
      </w:r>
      <w:r w:rsidRPr="004D0ABD">
        <w:rPr>
          <w:b/>
          <w:lang w:val="en-AU" w:eastAsia="en-GB" w:bidi="ar-SA"/>
        </w:rPr>
        <w:tab/>
        <w:t>Documents incorporated by reference</w:t>
      </w:r>
    </w:p>
    <w:p w14:paraId="1E95EA57" w14:textId="3C1F95C9" w:rsidR="00857B90" w:rsidRPr="004D0ABD" w:rsidRDefault="00857B90" w:rsidP="00857B90">
      <w:pPr>
        <w:autoSpaceDE w:val="0"/>
        <w:autoSpaceDN w:val="0"/>
        <w:adjustRightInd w:val="0"/>
        <w:rPr>
          <w:rFonts w:eastAsia="Calibri" w:cs="Arial"/>
          <w:bCs/>
          <w:szCs w:val="22"/>
          <w:lang w:val="en-AU" w:bidi="ar-SA"/>
        </w:rPr>
      </w:pPr>
      <w:r w:rsidRPr="004D0ABD">
        <w:rPr>
          <w:rFonts w:eastAsia="Calibri" w:cs="Arial"/>
          <w:bCs/>
          <w:szCs w:val="22"/>
          <w:lang w:val="en-AU" w:bidi="ar-SA"/>
        </w:rPr>
        <w:t xml:space="preserve">The </w:t>
      </w:r>
      <w:r w:rsidR="00542A7F">
        <w:rPr>
          <w:rFonts w:eastAsia="Calibri" w:cs="Arial"/>
          <w:bCs/>
          <w:szCs w:val="22"/>
          <w:lang w:val="en-AU" w:bidi="ar-SA"/>
        </w:rPr>
        <w:t xml:space="preserve">approved </w:t>
      </w:r>
      <w:r w:rsidRPr="004D0ABD">
        <w:rPr>
          <w:rFonts w:eastAsia="Calibri" w:cs="Arial"/>
          <w:bCs/>
          <w:szCs w:val="22"/>
          <w:lang w:val="en-AU" w:bidi="ar-SA"/>
        </w:rPr>
        <w:t>draft variation does not incorporate any documents by reference.</w:t>
      </w:r>
    </w:p>
    <w:p w14:paraId="784BD9D4" w14:textId="26D00CE0" w:rsidR="00857B90" w:rsidRPr="004D0ABD" w:rsidRDefault="00857B90" w:rsidP="00857B90">
      <w:pPr>
        <w:rPr>
          <w:rFonts w:eastAsia="Calibri" w:cs="Arial"/>
          <w:bCs/>
          <w:szCs w:val="22"/>
          <w:lang w:val="en-AU" w:bidi="ar-SA"/>
        </w:rPr>
      </w:pPr>
      <w:r w:rsidRPr="004D0ABD">
        <w:rPr>
          <w:rFonts w:eastAsia="Calibri" w:cs="Arial"/>
          <w:bCs/>
          <w:szCs w:val="22"/>
          <w:lang w:val="en-AU" w:bidi="ar-SA"/>
        </w:rPr>
        <w:t xml:space="preserve">However, existing provisions of the Code incorporate documents by reference that will prescribe identity and purity specifications for the processing aid to be permitted by the </w:t>
      </w:r>
      <w:r w:rsidR="008577B4">
        <w:rPr>
          <w:rFonts w:eastAsia="Calibri" w:cs="Arial"/>
          <w:bCs/>
          <w:szCs w:val="22"/>
          <w:lang w:val="en-AU" w:bidi="ar-SA"/>
        </w:rPr>
        <w:t xml:space="preserve">approved </w:t>
      </w:r>
      <w:r w:rsidRPr="004D0ABD">
        <w:rPr>
          <w:rFonts w:eastAsia="Calibri" w:cs="Arial"/>
          <w:bCs/>
          <w:szCs w:val="22"/>
          <w:lang w:val="en-AU" w:bidi="ar-SA"/>
        </w:rPr>
        <w:t xml:space="preserve">draft variation. </w:t>
      </w:r>
      <w:r w:rsidRPr="004D0ABD">
        <w:t xml:space="preserve">Section 1.1.1—15 of the Code requires substances used as processing aids to comply with any relevant identity and purity specifications listed in Schedule 3 of the Code. Section S3—2 of Schedule 3 incorporates by reference the specifications </w:t>
      </w:r>
      <w:r w:rsidRPr="004D0ABD">
        <w:rPr>
          <w:rFonts w:eastAsia="Calibri" w:cs="Arial"/>
          <w:bCs/>
          <w:szCs w:val="22"/>
          <w:lang w:val="en-AU" w:bidi="ar-SA"/>
        </w:rPr>
        <w:t xml:space="preserve">listed in </w:t>
      </w:r>
      <w:r w:rsidRPr="004D0ABD">
        <w:t xml:space="preserve">the Joint FAO/WHO Expert Committee on Food Additives (JECFA) Combined </w:t>
      </w:r>
      <w:r w:rsidRPr="004D0ABD">
        <w:rPr>
          <w:color w:val="000000" w:themeColor="text1"/>
        </w:rPr>
        <w:t xml:space="preserve">Compendium of Food Additive Specifications (FAO JECFA Monographs 23 (2019)) and the </w:t>
      </w:r>
      <w:r w:rsidRPr="004D0ABD">
        <w:t>United States Pharmacopeial Convention Food Chemicals Codex (12</w:t>
      </w:r>
      <w:r w:rsidRPr="004D0ABD">
        <w:rPr>
          <w:vertAlign w:val="superscript"/>
        </w:rPr>
        <w:t>th</w:t>
      </w:r>
      <w:r w:rsidRPr="004D0ABD">
        <w:t xml:space="preserve"> edition, 2020). These include </w:t>
      </w:r>
      <w:r w:rsidR="00B56310">
        <w:t xml:space="preserve">general specifications for the identity and purity of </w:t>
      </w:r>
      <w:r w:rsidRPr="004D0ABD">
        <w:t>enzyme preparations used in food processing.</w:t>
      </w:r>
    </w:p>
    <w:p w14:paraId="10F08C22" w14:textId="77777777" w:rsidR="00857B90" w:rsidRPr="004D0ABD" w:rsidRDefault="00857B90" w:rsidP="00857B90">
      <w:pPr>
        <w:rPr>
          <w:b/>
          <w:lang w:val="en-AU" w:eastAsia="en-GB" w:bidi="ar-SA"/>
        </w:rPr>
      </w:pPr>
      <w:r w:rsidRPr="004D0ABD">
        <w:rPr>
          <w:b/>
          <w:lang w:val="en-AU" w:eastAsia="en-GB" w:bidi="ar-SA"/>
        </w:rPr>
        <w:t>5.</w:t>
      </w:r>
      <w:r w:rsidRPr="004D0ABD">
        <w:rPr>
          <w:b/>
          <w:lang w:val="en-AU" w:eastAsia="en-GB" w:bidi="ar-SA"/>
        </w:rPr>
        <w:tab/>
        <w:t>Consultation</w:t>
      </w:r>
    </w:p>
    <w:p w14:paraId="773CC067" w14:textId="19778613" w:rsidR="00857B90" w:rsidRPr="004D0ABD" w:rsidRDefault="00857B90" w:rsidP="00857B90">
      <w:pPr>
        <w:rPr>
          <w:color w:val="FF0000"/>
          <w:lang w:val="en-AU"/>
        </w:rPr>
      </w:pPr>
      <w:r w:rsidRPr="004D0ABD">
        <w:rPr>
          <w:szCs w:val="22"/>
        </w:rPr>
        <w:t xml:space="preserve">In accordance with the procedure in Division 1 of Part 3 of the FSANZ Act, </w:t>
      </w:r>
      <w:r w:rsidRPr="004D0ABD">
        <w:rPr>
          <w:rFonts w:eastAsia="Calibri" w:cs="Arial"/>
          <w:bCs/>
          <w:szCs w:val="22"/>
          <w:lang w:val="en-AU" w:bidi="ar-SA"/>
        </w:rPr>
        <w:t>the Authority</w:t>
      </w:r>
      <w:r w:rsidRPr="004D0ABD">
        <w:rPr>
          <w:szCs w:val="22"/>
        </w:rPr>
        <w:t>’s consideration of Application A122</w:t>
      </w:r>
      <w:r w:rsidR="004D0ABD" w:rsidRPr="004D0ABD">
        <w:rPr>
          <w:szCs w:val="22"/>
        </w:rPr>
        <w:t>8</w:t>
      </w:r>
      <w:r w:rsidRPr="004D0ABD">
        <w:rPr>
          <w:szCs w:val="22"/>
        </w:rPr>
        <w:t xml:space="preserve"> included one round of public consultation following an assessment and the preparation of a draft variation and associated assessment summary. Submissions were called for on 8 February 2023 for a six-week consultation period.</w:t>
      </w:r>
    </w:p>
    <w:p w14:paraId="70AE1744" w14:textId="77777777" w:rsidR="00857B90" w:rsidRPr="004D0ABD" w:rsidRDefault="00857B90" w:rsidP="00857B90">
      <w:pPr>
        <w:rPr>
          <w:rFonts w:eastAsia="Calibri" w:cs="Arial"/>
          <w:bCs/>
          <w:szCs w:val="22"/>
          <w:lang w:val="en-AU" w:bidi="ar-SA"/>
        </w:rPr>
      </w:pPr>
      <w:r w:rsidRPr="004D0ABD">
        <w:rPr>
          <w:rFonts w:eastAsia="Calibri" w:cs="Arial"/>
          <w:bCs/>
          <w:szCs w:val="22"/>
          <w:lang w:val="en-AU" w:bidi="ar-SA"/>
        </w:rPr>
        <w:t>The Office of Impact Analysis</w:t>
      </w:r>
      <w:r w:rsidRPr="004D0ABD">
        <w:rPr>
          <w:rStyle w:val="FootnoteReference"/>
          <w:rFonts w:eastAsia="Calibri" w:cs="Arial"/>
          <w:bCs/>
          <w:szCs w:val="22"/>
          <w:lang w:val="en-AU" w:bidi="ar-SA"/>
        </w:rPr>
        <w:footnoteReference w:id="7"/>
      </w:r>
      <w:r w:rsidRPr="004D0ABD">
        <w:rPr>
          <w:rFonts w:eastAsia="Calibri" w:cs="Arial"/>
          <w:bCs/>
          <w:szCs w:val="22"/>
          <w:lang w:val="en-AU" w:bidi="ar-SA"/>
        </w:rPr>
        <w:t xml:space="preserve"> granted the Authority a standing exemption from the requirement to develop a Regulatory Impact Statement for applications relating to permitting new processing aids and GM foods (OBPR correspondence dated 24 November 2010, reference 12065). This standing exemption was provided as permitting new processing aids and GM foods is deregulatory as their use will be voluntary if the application is approved. This standing exemption relates to the introduction of a food to the food supply that has been determined to be safe.</w:t>
      </w:r>
    </w:p>
    <w:p w14:paraId="61BF829D" w14:textId="77777777" w:rsidR="00857B90" w:rsidRPr="004D0ABD" w:rsidRDefault="00857B90" w:rsidP="00857B90">
      <w:pPr>
        <w:rPr>
          <w:rFonts w:eastAsiaTheme="minorHAnsi" w:cs="Arial"/>
          <w:b/>
          <w:bCs/>
          <w:szCs w:val="22"/>
          <w:lang w:val="en-AU" w:bidi="ar-SA"/>
        </w:rPr>
      </w:pPr>
      <w:r w:rsidRPr="004D0ABD">
        <w:rPr>
          <w:rFonts w:eastAsiaTheme="minorHAnsi" w:cs="Arial"/>
          <w:b/>
          <w:bCs/>
          <w:szCs w:val="22"/>
          <w:lang w:val="en-AU" w:bidi="ar-SA"/>
        </w:rPr>
        <w:t>6.</w:t>
      </w:r>
      <w:r w:rsidRPr="004D0ABD">
        <w:rPr>
          <w:rFonts w:eastAsiaTheme="minorHAnsi" w:cs="Arial"/>
          <w:b/>
          <w:bCs/>
          <w:szCs w:val="22"/>
          <w:lang w:val="en-AU" w:bidi="ar-SA"/>
        </w:rPr>
        <w:tab/>
        <w:t>Statement of compatibility with human rights</w:t>
      </w:r>
    </w:p>
    <w:p w14:paraId="0B02A511" w14:textId="77777777" w:rsidR="00857B90" w:rsidRPr="004D0ABD" w:rsidRDefault="00857B90" w:rsidP="00857B90">
      <w:pPr>
        <w:rPr>
          <w:rFonts w:eastAsiaTheme="minorHAnsi"/>
          <w:lang w:val="en-AU" w:bidi="ar-SA"/>
        </w:rPr>
      </w:pPr>
      <w:r w:rsidRPr="004D0ABD">
        <w:rPr>
          <w:rFonts w:eastAsiaTheme="minorHAnsi"/>
          <w:lang w:val="en-AU" w:bidi="ar-SA"/>
        </w:rPr>
        <w:t xml:space="preserve">This instrument is exempt from the requirements for a statement of compatibility with human rights as it is a non-disallowable instrument under section 44 of the </w:t>
      </w:r>
      <w:r w:rsidRPr="004D0ABD">
        <w:rPr>
          <w:rFonts w:eastAsiaTheme="minorHAnsi"/>
          <w:i/>
          <w:lang w:val="en-AU" w:bidi="ar-SA"/>
        </w:rPr>
        <w:t>Legislation Act 2003</w:t>
      </w:r>
      <w:r w:rsidRPr="004D0ABD">
        <w:rPr>
          <w:rFonts w:eastAsiaTheme="minorHAnsi"/>
          <w:lang w:val="en-AU" w:bidi="ar-SA"/>
        </w:rPr>
        <w:t>.</w:t>
      </w:r>
    </w:p>
    <w:p w14:paraId="7F834374" w14:textId="77777777" w:rsidR="00857B90" w:rsidRPr="004D0ABD" w:rsidRDefault="00857B90" w:rsidP="00857B90">
      <w:pPr>
        <w:keepNext/>
        <w:rPr>
          <w:b/>
          <w:lang w:val="en-AU" w:eastAsia="en-GB" w:bidi="ar-SA"/>
        </w:rPr>
      </w:pPr>
      <w:r w:rsidRPr="004D0ABD">
        <w:rPr>
          <w:b/>
        </w:rPr>
        <w:t>7.</w:t>
      </w:r>
      <w:r w:rsidRPr="004D0ABD">
        <w:rPr>
          <w:b/>
        </w:rPr>
        <w:tab/>
      </w:r>
      <w:r w:rsidRPr="004D0ABD">
        <w:rPr>
          <w:b/>
          <w:lang w:val="en-AU" w:eastAsia="en-GB" w:bidi="ar-SA"/>
        </w:rPr>
        <w:t>Variation</w:t>
      </w:r>
    </w:p>
    <w:p w14:paraId="69BFC7E0" w14:textId="77777777" w:rsidR="00857B90" w:rsidRPr="004D0ABD" w:rsidRDefault="00857B90" w:rsidP="00857B90">
      <w:r w:rsidRPr="004D0ABD">
        <w:rPr>
          <w:b/>
        </w:rPr>
        <w:t>Item [1]</w:t>
      </w:r>
      <w:r w:rsidRPr="004D0ABD">
        <w:t xml:space="preserve"> of the Schedule to the approved draft variation inserts a new entry, in alphabetical order, into the table to subsection S18—9(3) of the Code. The new entry consists of the following enzyme in column 1 of the table:</w:t>
      </w:r>
    </w:p>
    <w:p w14:paraId="7A7D86EC" w14:textId="1AE02BF1" w:rsidR="004D0ABD" w:rsidRPr="001A0915" w:rsidRDefault="004D0ABD" w:rsidP="004D0ABD">
      <w:pPr>
        <w:numPr>
          <w:ilvl w:val="0"/>
          <w:numId w:val="6"/>
        </w:numPr>
        <w:ind w:left="714" w:hanging="357"/>
      </w:pPr>
      <w:r w:rsidRPr="001A0915">
        <w:t>‘</w:t>
      </w:r>
      <w:r w:rsidR="007C359F">
        <w:t>Endo-1</w:t>
      </w:r>
      <w:r w:rsidR="007C359F" w:rsidRPr="006F24F0">
        <w:t>,4</w:t>
      </w:r>
      <w:r w:rsidR="007C359F">
        <w:t xml:space="preserve">-beta-xylanase (EC 3.2.1.8) sourced from </w:t>
      </w:r>
      <w:r w:rsidR="007C359F" w:rsidRPr="7805CA24">
        <w:rPr>
          <w:i/>
          <w:iCs/>
        </w:rPr>
        <w:t xml:space="preserve">Trichoderma </w:t>
      </w:r>
      <w:proofErr w:type="spellStart"/>
      <w:r w:rsidR="007C359F" w:rsidRPr="7805CA24">
        <w:rPr>
          <w:i/>
          <w:iCs/>
        </w:rPr>
        <w:t>reesei</w:t>
      </w:r>
      <w:proofErr w:type="spellEnd"/>
      <w:r w:rsidR="007C359F">
        <w:t xml:space="preserve"> containing the endo-1,4-beta-xylanase gene from </w:t>
      </w:r>
      <w:proofErr w:type="spellStart"/>
      <w:r w:rsidR="007C359F" w:rsidRPr="7805CA24">
        <w:rPr>
          <w:i/>
          <w:iCs/>
        </w:rPr>
        <w:t>Talaromyces</w:t>
      </w:r>
      <w:proofErr w:type="spellEnd"/>
      <w:r w:rsidR="007C359F" w:rsidRPr="7805CA24">
        <w:rPr>
          <w:i/>
          <w:iCs/>
        </w:rPr>
        <w:t xml:space="preserve"> </w:t>
      </w:r>
      <w:proofErr w:type="spellStart"/>
      <w:r w:rsidR="007C359F" w:rsidRPr="7805CA24">
        <w:rPr>
          <w:i/>
          <w:iCs/>
        </w:rPr>
        <w:t>leycettanus</w:t>
      </w:r>
      <w:proofErr w:type="spellEnd"/>
      <w:r w:rsidR="002E01CB">
        <w:rPr>
          <w:i/>
          <w:iCs/>
        </w:rPr>
        <w:t xml:space="preserve">. </w:t>
      </w:r>
      <w:r>
        <w:t>’</w:t>
      </w:r>
    </w:p>
    <w:p w14:paraId="7B3A29A0" w14:textId="10A1B560" w:rsidR="00857B90" w:rsidRPr="004D0ABD" w:rsidRDefault="00857B90" w:rsidP="00857B90">
      <w:pPr>
        <w:rPr>
          <w:lang w:val="en-AU" w:eastAsia="en-GB" w:bidi="ar-SA"/>
        </w:rPr>
      </w:pPr>
      <w:r w:rsidRPr="004D0ABD">
        <w:lastRenderedPageBreak/>
        <w:t xml:space="preserve">The permitted technological purpose for this enzyme is </w:t>
      </w:r>
      <w:bookmarkStart w:id="139" w:name="_Hlk124526868"/>
      <w:r w:rsidRPr="004D0ABD">
        <w:t>prescribed in column 2 of the table</w:t>
      </w:r>
      <w:bookmarkEnd w:id="139"/>
      <w:r w:rsidRPr="004D0ABD">
        <w:t xml:space="preserve"> for use </w:t>
      </w:r>
      <w:r w:rsidR="004D0ABD" w:rsidRPr="004D0ABD">
        <w:t>in brewing, fats and oils processing, grain processing and potable alcohol production</w:t>
      </w:r>
      <w:r w:rsidRPr="004D0ABD">
        <w:t>.</w:t>
      </w:r>
    </w:p>
    <w:p w14:paraId="015BCB8D" w14:textId="77777777" w:rsidR="00857B90" w:rsidRPr="004D0ABD" w:rsidRDefault="00857B90" w:rsidP="00857B90">
      <w:pPr>
        <w:rPr>
          <w:rFonts w:eastAsia="Calibri" w:cs="Arial"/>
          <w:bCs/>
          <w:szCs w:val="22"/>
          <w:lang w:val="en-AU" w:bidi="ar-SA"/>
        </w:rPr>
      </w:pPr>
      <w:r w:rsidRPr="004D0ABD">
        <w:rPr>
          <w:rFonts w:eastAsia="Calibri" w:cs="Arial"/>
          <w:bCs/>
          <w:szCs w:val="22"/>
          <w:lang w:val="en-AU" w:bidi="ar-SA"/>
        </w:rPr>
        <w:t>The permission is subject to the condition</w:t>
      </w:r>
      <w:bookmarkStart w:id="140" w:name="_Hlk124526957"/>
      <w:r w:rsidRPr="004D0ABD">
        <w:rPr>
          <w:rFonts w:eastAsia="Calibri" w:cs="Arial"/>
          <w:bCs/>
          <w:szCs w:val="22"/>
          <w:lang w:val="en-AU" w:bidi="ar-SA"/>
        </w:rPr>
        <w:t>, as prescribed in column 3 of the table,</w:t>
      </w:r>
      <w:r w:rsidRPr="004D0ABD">
        <w:rPr>
          <w:szCs w:val="22"/>
          <w:lang w:eastAsia="en-GB"/>
        </w:rPr>
        <w:t xml:space="preserve"> </w:t>
      </w:r>
      <w:bookmarkEnd w:id="140"/>
      <w:r w:rsidRPr="004D0ABD">
        <w:rPr>
          <w:szCs w:val="22"/>
        </w:rPr>
        <w:t>that the maximum permitted level or amount of this enzyme that may be present in the food must be consistent with GMP</w:t>
      </w:r>
      <w:r w:rsidRPr="004D0ABD">
        <w:rPr>
          <w:rFonts w:eastAsia="Calibri" w:cs="Arial"/>
          <w:bCs/>
          <w:szCs w:val="22"/>
          <w:lang w:val="en-AU" w:bidi="ar-SA"/>
        </w:rPr>
        <w:t>.</w:t>
      </w:r>
    </w:p>
    <w:p w14:paraId="012AE357" w14:textId="3D98C75F" w:rsidR="0012388D" w:rsidRPr="00857B90" w:rsidRDefault="00857B90" w:rsidP="00857B90">
      <w:r w:rsidRPr="000B7311">
        <w:rPr>
          <w:rFonts w:eastAsia="Calibri" w:cs="Arial"/>
          <w:bCs/>
          <w:szCs w:val="22"/>
          <w:lang w:val="en-AU" w:bidi="ar-SA"/>
        </w:rPr>
        <w:t xml:space="preserve">The effect of the approved draft variation is to permit the proposed use of </w:t>
      </w:r>
      <w:r w:rsidR="004D0ABD" w:rsidRPr="000B7311">
        <w:t>endo-1,4-beta-</w:t>
      </w:r>
      <w:r w:rsidR="004D0ABD" w:rsidRPr="001A0915">
        <w:t>xylanase</w:t>
      </w:r>
      <w:r w:rsidR="004D0ABD">
        <w:t xml:space="preserve"> </w:t>
      </w:r>
      <w:r w:rsidR="004D0ABD" w:rsidRPr="00F50B38">
        <w:t>(</w:t>
      </w:r>
      <w:r w:rsidR="004D0ABD">
        <w:t xml:space="preserve">EC </w:t>
      </w:r>
      <w:r w:rsidR="004D0ABD" w:rsidRPr="00F50B38">
        <w:t>3.2.1.8)</w:t>
      </w:r>
      <w:r w:rsidR="004D0ABD" w:rsidRPr="001A0915">
        <w:t xml:space="preserve"> </w:t>
      </w:r>
      <w:r w:rsidR="004E27CA">
        <w:t xml:space="preserve">sourced from </w:t>
      </w:r>
      <w:r w:rsidR="004E27CA" w:rsidRPr="7805CA24">
        <w:rPr>
          <w:i/>
          <w:iCs/>
        </w:rPr>
        <w:t xml:space="preserve">Trichoderma </w:t>
      </w:r>
      <w:proofErr w:type="spellStart"/>
      <w:r w:rsidR="004E27CA" w:rsidRPr="7805CA24">
        <w:rPr>
          <w:i/>
          <w:iCs/>
        </w:rPr>
        <w:t>reesei</w:t>
      </w:r>
      <w:proofErr w:type="spellEnd"/>
      <w:r w:rsidR="004E27CA">
        <w:t xml:space="preserve"> containing the endo-1,4-beta-xylanase gene from </w:t>
      </w:r>
      <w:proofErr w:type="spellStart"/>
      <w:r w:rsidR="004E27CA" w:rsidRPr="7805CA24">
        <w:rPr>
          <w:i/>
          <w:iCs/>
        </w:rPr>
        <w:t>Talaromyces</w:t>
      </w:r>
      <w:proofErr w:type="spellEnd"/>
      <w:r w:rsidR="004E27CA" w:rsidRPr="7805CA24">
        <w:rPr>
          <w:i/>
          <w:iCs/>
        </w:rPr>
        <w:t xml:space="preserve"> </w:t>
      </w:r>
      <w:proofErr w:type="spellStart"/>
      <w:r w:rsidR="004E27CA" w:rsidRPr="7805CA24">
        <w:rPr>
          <w:i/>
          <w:iCs/>
        </w:rPr>
        <w:t>leycettanus</w:t>
      </w:r>
      <w:proofErr w:type="spellEnd"/>
      <w:r w:rsidR="004D0ABD" w:rsidRPr="001A0915">
        <w:t xml:space="preserve"> as a processing aid</w:t>
      </w:r>
      <w:r w:rsidR="004D0ABD">
        <w:rPr>
          <w:rFonts w:eastAsia="Calibri" w:cs="Arial"/>
          <w:bCs/>
          <w:szCs w:val="22"/>
          <w:lang w:val="en-AU" w:bidi="ar-SA"/>
        </w:rPr>
        <w:t xml:space="preserve"> </w:t>
      </w:r>
      <w:r w:rsidR="004D0ABD" w:rsidRPr="001A0915">
        <w:rPr>
          <w:rFonts w:eastAsia="Calibri" w:cs="Arial"/>
          <w:bCs/>
          <w:szCs w:val="22"/>
          <w:lang w:val="en-AU" w:bidi="ar-SA"/>
        </w:rPr>
        <w:t>in accordance with the Code.</w:t>
      </w:r>
    </w:p>
    <w:sectPr w:rsidR="0012388D" w:rsidRPr="00857B90" w:rsidSect="00EB576F">
      <w:headerReference w:type="even" r:id="rId23"/>
      <w:headerReference w:type="default" r:id="rId24"/>
      <w:footerReference w:type="even" r:id="rId25"/>
      <w:footerReference w:type="default" r:id="rId26"/>
      <w:headerReference w:type="first" r:id="rId27"/>
      <w:footerReference w:type="first" r:id="rId2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1D81" w14:textId="77777777" w:rsidR="00086C5C" w:rsidRDefault="00086C5C">
      <w:r>
        <w:separator/>
      </w:r>
    </w:p>
    <w:p w14:paraId="0101934B" w14:textId="77777777" w:rsidR="00086C5C" w:rsidRDefault="00086C5C"/>
  </w:endnote>
  <w:endnote w:type="continuationSeparator" w:id="0">
    <w:p w14:paraId="1E6CA658" w14:textId="77777777" w:rsidR="00086C5C" w:rsidRDefault="00086C5C">
      <w:r>
        <w:continuationSeparator/>
      </w:r>
    </w:p>
    <w:p w14:paraId="49363B13" w14:textId="77777777" w:rsidR="00086C5C" w:rsidRDefault="00086C5C"/>
  </w:endnote>
  <w:endnote w:type="continuationNotice" w:id="1">
    <w:p w14:paraId="4C48B05E" w14:textId="77777777" w:rsidR="00086C5C" w:rsidRDefault="00086C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9F6E" w14:textId="5BF1F535" w:rsidR="00857B90" w:rsidRPr="00C92452" w:rsidRDefault="00C8594A" w:rsidP="00C92452">
    <w:pPr>
      <w:pStyle w:val="Footer"/>
      <w:framePr w:wrap="around" w:vAnchor="text" w:hAnchor="margin" w:xAlign="center" w:y="1"/>
      <w:jc w:val="center"/>
      <w:rPr>
        <w:rStyle w:val="PageNumber"/>
        <w:rFonts w:ascii="Calibri" w:hAnsi="Calibri" w:cs="Calibri"/>
        <w:b/>
        <w:color w:val="F00000"/>
        <w:sz w:val="24"/>
      </w:rPr>
    </w:pPr>
    <w:r>
      <w:rPr>
        <w:noProof/>
      </w:rPr>
      <mc:AlternateContent>
        <mc:Choice Requires="wps">
          <w:drawing>
            <wp:anchor distT="0" distB="0" distL="114300" distR="114300" simplePos="0" relativeHeight="251658269" behindDoc="0" locked="1" layoutInCell="0" allowOverlap="1" wp14:anchorId="68AB1B42" wp14:editId="2EA1E593">
              <wp:simplePos x="0" y="0"/>
              <wp:positionH relativeFrom="margin">
                <wp:align>center</wp:align>
              </wp:positionH>
              <wp:positionV relativeFrom="bottomMargin">
                <wp:align>center</wp:align>
              </wp:positionV>
              <wp:extent cx="892175" cy="273050"/>
              <wp:effectExtent l="0" t="0" r="22225" b="12700"/>
              <wp:wrapNone/>
              <wp:docPr id="33" name="Text Box 3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40B09741" w14:textId="2C13CE36" w:rsidR="00C8594A" w:rsidRPr="00C8594A" w:rsidRDefault="00C8594A" w:rsidP="008200C8">
                          <w:pPr>
                            <w:spacing w:before="0" w:after="0"/>
                            <w:jc w:val="center"/>
                            <w:rPr>
                              <w:b/>
                              <w:color w:val="FF0000"/>
                              <w:sz w:val="24"/>
                            </w:rPr>
                          </w:pPr>
                          <w:r w:rsidRPr="00C8594A">
                            <w:rPr>
                              <w:b/>
                              <w:color w:val="FF0000"/>
                              <w:sz w:val="24"/>
                            </w:rPr>
                            <w:fldChar w:fldCharType="begin"/>
                          </w:r>
                          <w:r w:rsidRPr="00C8594A">
                            <w:rPr>
                              <w:b/>
                              <w:color w:val="FF0000"/>
                              <w:sz w:val="24"/>
                            </w:rPr>
                            <w:instrText xml:space="preserve"> DOCPROPERTY PM_ProtectiveMarkingValue_Footer \* MERGEFORMAT </w:instrText>
                          </w:r>
                          <w:r w:rsidRPr="00C8594A">
                            <w:rPr>
                              <w:b/>
                              <w:color w:val="FF0000"/>
                              <w:sz w:val="24"/>
                            </w:rPr>
                            <w:fldChar w:fldCharType="separate"/>
                          </w:r>
                          <w:r w:rsidR="001F7190">
                            <w:rPr>
                              <w:b/>
                              <w:color w:val="FF0000"/>
                              <w:sz w:val="24"/>
                            </w:rPr>
                            <w:t>UNOFFICIAL</w:t>
                          </w:r>
                          <w:r w:rsidRPr="00C8594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8AB1B42" id="_x0000_t202" coordsize="21600,21600" o:spt="202" path="m,l,21600r21600,l21600,xe">
              <v:stroke joinstyle="miter"/>
              <v:path gradientshapeok="t" o:connecttype="rect"/>
            </v:shapetype>
            <v:shape id="Text Box 33" o:spid="_x0000_s1028" type="#_x0000_t202" style="position:absolute;left:0;text-align:left;margin-left:0;margin-top:0;width:70.25pt;height:21.5pt;z-index:25165826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" o:allowincell="f" filled="f" strokeweight=".5pt">
              <v:textbox style="mso-fit-shape-to-text:t">
                <w:txbxContent>
                  <w:p w14:paraId="40B09741" w14:textId="2C13CE36" w:rsidR="00C8594A" w:rsidRPr="00C8594A" w:rsidRDefault="00C8594A" w:rsidP="008200C8">
                    <w:pPr>
                      <w:spacing w:before="0" w:after="0"/>
                      <w:jc w:val="center"/>
                      <w:rPr>
                        <w:b/>
                        <w:color w:val="FF0000"/>
                        <w:sz w:val="24"/>
                      </w:rPr>
                    </w:pPr>
                    <w:r w:rsidRPr="00C8594A">
                      <w:rPr>
                        <w:b/>
                        <w:color w:val="FF0000"/>
                        <w:sz w:val="24"/>
                      </w:rPr>
                      <w:fldChar w:fldCharType="begin"/>
                    </w:r>
                    <w:r w:rsidRPr="00C8594A">
                      <w:rPr>
                        <w:b/>
                        <w:color w:val="FF0000"/>
                        <w:sz w:val="24"/>
                      </w:rPr>
                      <w:instrText xml:space="preserve"> DOCPROPERTY PM_ProtectiveMarkingValue_Footer \* MERGEFORMAT </w:instrText>
                    </w:r>
                    <w:r w:rsidRPr="00C8594A">
                      <w:rPr>
                        <w:b/>
                        <w:color w:val="FF0000"/>
                        <w:sz w:val="24"/>
                      </w:rPr>
                      <w:fldChar w:fldCharType="separate"/>
                    </w:r>
                    <w:r w:rsidR="001F7190">
                      <w:rPr>
                        <w:b/>
                        <w:color w:val="FF0000"/>
                        <w:sz w:val="24"/>
                      </w:rPr>
                      <w:t>UNOFFICIAL</w:t>
                    </w:r>
                    <w:r w:rsidRPr="00C8594A">
                      <w:rPr>
                        <w:b/>
                        <w:color w:val="FF0000"/>
                        <w:sz w:val="24"/>
                      </w:rPr>
                      <w:fldChar w:fldCharType="end"/>
                    </w:r>
                  </w:p>
                </w:txbxContent>
              </v:textbox>
              <w10:wrap anchorx="margin" anchory="margin"/>
              <w10:anchorlock/>
            </v:shape>
          </w:pict>
        </mc:Fallback>
      </mc:AlternateContent>
    </w:r>
    <w:r w:rsidR="00051F95">
      <w:rPr>
        <w:noProof/>
      </w:rPr>
      <mc:AlternateContent>
        <mc:Choice Requires="wps">
          <w:drawing>
            <wp:anchor distT="0" distB="0" distL="114300" distR="114300" simplePos="0" relativeHeight="251658257" behindDoc="0" locked="1" layoutInCell="0" allowOverlap="1" wp14:anchorId="61BE734C" wp14:editId="7DED0BE4">
              <wp:simplePos x="0" y="0"/>
              <wp:positionH relativeFrom="margin">
                <wp:align>center</wp:align>
              </wp:positionH>
              <wp:positionV relativeFrom="bottomMargin">
                <wp:align>center</wp:align>
              </wp:positionV>
              <wp:extent cx="892175" cy="2730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AA8006" w14:textId="771D67F6" w:rsidR="00051F95" w:rsidRPr="00051F95" w:rsidRDefault="00051F95" w:rsidP="00051F95">
                          <w:pPr>
                            <w:spacing w:before="0" w:after="0"/>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PM_ProtectiveMarkingValue_Footer \* MERGEFORMAT </w:instrText>
                          </w:r>
                          <w:r w:rsidRPr="00051F95">
                            <w:rPr>
                              <w:b/>
                              <w:color w:val="FF0000"/>
                              <w:sz w:val="24"/>
                            </w:rPr>
                            <w:fldChar w:fldCharType="separate"/>
                          </w:r>
                          <w:r w:rsidR="001F7190">
                            <w:rPr>
                              <w:b/>
                              <w:color w:val="FF0000"/>
                              <w:sz w:val="24"/>
                            </w:rPr>
                            <w:t>UNOFFICIAL</w:t>
                          </w:r>
                          <w:r w:rsidRPr="00051F9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1BE734C" id="Text Box 21" o:spid="_x0000_s1029" type="#_x0000_t202" style="position:absolute;left:0;text-align:left;margin-left:0;margin-top:0;width:70.25pt;height:21.5pt;z-index:25165825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5CAA8006" w14:textId="771D67F6" w:rsidR="00051F95" w:rsidRPr="00051F95" w:rsidRDefault="00051F95" w:rsidP="00051F95">
                    <w:pPr>
                      <w:spacing w:before="0" w:after="0"/>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PM_ProtectiveMarkingValue_Footer \* MERGEFORMAT </w:instrText>
                    </w:r>
                    <w:r w:rsidRPr="00051F95">
                      <w:rPr>
                        <w:b/>
                        <w:color w:val="FF0000"/>
                        <w:sz w:val="24"/>
                      </w:rPr>
                      <w:fldChar w:fldCharType="separate"/>
                    </w:r>
                    <w:r w:rsidR="001F7190">
                      <w:rPr>
                        <w:b/>
                        <w:color w:val="FF0000"/>
                        <w:sz w:val="24"/>
                      </w:rPr>
                      <w:t>UNOFFICIAL</w:t>
                    </w:r>
                    <w:r w:rsidRPr="00051F95">
                      <w:rPr>
                        <w:b/>
                        <w:color w:val="FF0000"/>
                        <w:sz w:val="24"/>
                      </w:rPr>
                      <w:fldChar w:fldCharType="end"/>
                    </w:r>
                  </w:p>
                </w:txbxContent>
              </v:textbox>
              <w10:wrap anchorx="margin" anchory="margin"/>
              <w10:anchorlock/>
            </v:shape>
          </w:pict>
        </mc:Fallback>
      </mc:AlternateContent>
    </w:r>
    <w:r w:rsidR="004D0ABD">
      <w:rPr>
        <w:noProof/>
      </w:rPr>
      <mc:AlternateContent>
        <mc:Choice Requires="wps">
          <w:drawing>
            <wp:anchor distT="0" distB="0" distL="114300" distR="114300" simplePos="0" relativeHeight="251658243" behindDoc="0" locked="1" layoutInCell="0" allowOverlap="1" wp14:anchorId="057408A9" wp14:editId="6B2DE600">
              <wp:simplePos x="0" y="0"/>
              <wp:positionH relativeFrom="margin">
                <wp:align>center</wp:align>
              </wp:positionH>
              <wp:positionV relativeFrom="bottomMargin">
                <wp:align>center</wp:align>
              </wp:positionV>
              <wp:extent cx="892175" cy="273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953525" w14:textId="76854257" w:rsidR="004D0ABD" w:rsidRPr="004D0ABD" w:rsidRDefault="004D0ABD" w:rsidP="004D0ABD">
                          <w:pPr>
                            <w:spacing w:before="0" w:after="0"/>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PM_ProtectiveMarkingValue_Footer \* MERGEFORMAT </w:instrText>
                          </w:r>
                          <w:r w:rsidRPr="004D0ABD">
                            <w:rPr>
                              <w:b/>
                              <w:color w:val="FF0000"/>
                              <w:sz w:val="24"/>
                            </w:rPr>
                            <w:fldChar w:fldCharType="separate"/>
                          </w:r>
                          <w:r w:rsidR="001F7190">
                            <w:rPr>
                              <w:b/>
                              <w:color w:val="FF0000"/>
                              <w:sz w:val="24"/>
                            </w:rPr>
                            <w:t>UNOFFICIAL</w:t>
                          </w:r>
                          <w:r w:rsidRPr="004D0AB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7408A9" id="Text Box 9" o:spid="_x0000_s1030" type="#_x0000_t202" style="position:absolute;left:0;text-align:left;margin-left:0;margin-top:0;width:70.25pt;height:21.5pt;z-index:25165824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textbox style="mso-fit-shape-to-text:t">
                <w:txbxContent>
                  <w:p w14:paraId="23953525" w14:textId="76854257" w:rsidR="004D0ABD" w:rsidRPr="004D0ABD" w:rsidRDefault="004D0ABD" w:rsidP="004D0ABD">
                    <w:pPr>
                      <w:spacing w:before="0" w:after="0"/>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PM_ProtectiveMarkingValue_Footer \* MERGEFORMAT </w:instrText>
                    </w:r>
                    <w:r w:rsidRPr="004D0ABD">
                      <w:rPr>
                        <w:b/>
                        <w:color w:val="FF0000"/>
                        <w:sz w:val="24"/>
                      </w:rPr>
                      <w:fldChar w:fldCharType="separate"/>
                    </w:r>
                    <w:r w:rsidR="001F7190">
                      <w:rPr>
                        <w:b/>
                        <w:color w:val="FF0000"/>
                        <w:sz w:val="24"/>
                      </w:rPr>
                      <w:t>UNOFFICIAL</w:t>
                    </w:r>
                    <w:r w:rsidRPr="004D0ABD">
                      <w:rPr>
                        <w:b/>
                        <w:color w:val="FF0000"/>
                        <w:sz w:val="24"/>
                      </w:rPr>
                      <w:fldChar w:fldCharType="end"/>
                    </w:r>
                  </w:p>
                </w:txbxContent>
              </v:textbox>
              <w10:wrap anchorx="margin" anchory="margin"/>
              <w10:anchorlock/>
            </v:shape>
          </w:pict>
        </mc:Fallback>
      </mc:AlternateContent>
    </w:r>
    <w:r w:rsidR="00857B90">
      <w:rPr>
        <w:rStyle w:val="PageNumber"/>
      </w:rPr>
      <w:fldChar w:fldCharType="begin" w:fldLock="1"/>
    </w:r>
    <w:r w:rsidR="00857B90">
      <w:rPr>
        <w:rStyle w:val="PageNumber"/>
      </w:rPr>
      <w:instrText xml:space="preserve"> DOCPROPERTY bjFooterEvenPageDocProperty \* MERGEFORMAT </w:instrText>
    </w:r>
    <w:r w:rsidR="00857B90">
      <w:rPr>
        <w:rStyle w:val="PageNumber"/>
      </w:rPr>
      <w:fldChar w:fldCharType="separate"/>
    </w:r>
  </w:p>
  <w:p w14:paraId="60F220AA" w14:textId="77777777" w:rsidR="00857B90" w:rsidRDefault="00857B90" w:rsidP="00C92452">
    <w:pPr>
      <w:pStyle w:val="Footer"/>
      <w:framePr w:wrap="around" w:vAnchor="text" w:hAnchor="margin" w:xAlign="center" w:y="1"/>
      <w:jc w:val="center"/>
      <w:rPr>
        <w:rStyle w:val="PageNumber"/>
      </w:rPr>
    </w:pPr>
    <w:r w:rsidRPr="00C92452">
      <w:rPr>
        <w:rStyle w:val="PageNumber"/>
        <w:rFonts w:ascii="Calibri" w:hAnsi="Calibri" w:cs="Calibri"/>
        <w:b/>
        <w:color w:val="F00000"/>
        <w:sz w:val="24"/>
      </w:rPr>
      <w:t>OFFICIAL</w:t>
    </w:r>
    <w:r>
      <w:rPr>
        <w:rStyle w:val="PageNumber"/>
      </w:rPr>
      <w:t xml:space="preserve"> </w:t>
    </w:r>
    <w:r>
      <w:rPr>
        <w:rStyle w:val="PageNumber"/>
      </w:rPr>
      <w:fldChar w:fldCharType="end"/>
    </w:r>
    <w:r>
      <w:rPr>
        <w:rStyle w:val="PageNumber"/>
      </w:rPr>
      <w:fldChar w:fldCharType="begin"/>
    </w:r>
    <w:r>
      <w:rPr>
        <w:rStyle w:val="PageNumber"/>
      </w:rPr>
      <w:instrText xml:space="preserve">PAGE  </w:instrText>
    </w:r>
    <w:r>
      <w:rPr>
        <w:rStyle w:val="PageNumber"/>
      </w:rPr>
      <w:fldChar w:fldCharType="end"/>
    </w:r>
  </w:p>
  <w:p w14:paraId="43DC1491" w14:textId="77777777" w:rsidR="00857B90" w:rsidRDefault="00857B90" w:rsidP="00C92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895567"/>
      <w:docPartObj>
        <w:docPartGallery w:val="Page Numbers (Bottom of Page)"/>
        <w:docPartUnique/>
      </w:docPartObj>
    </w:sdtPr>
    <w:sdtEndPr>
      <w:rPr>
        <w:noProof/>
      </w:rPr>
    </w:sdtEndPr>
    <w:sdtContent>
      <w:p w14:paraId="7F1A71E5" w14:textId="2668A496" w:rsidR="00B05D62" w:rsidRDefault="00B05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FDC7D7" w14:textId="4844DC9A" w:rsidR="00857B90" w:rsidRDefault="00857B90" w:rsidP="00A671E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95AC" w14:textId="751FBD24" w:rsidR="00857B90" w:rsidRPr="00C92452" w:rsidRDefault="00C8594A" w:rsidP="00C92452">
    <w:pPr>
      <w:pStyle w:val="Footer"/>
      <w:jc w:val="center"/>
      <w:rPr>
        <w:rFonts w:ascii="Calibri" w:hAnsi="Calibri" w:cs="Calibri"/>
        <w:b/>
        <w:color w:val="F00000"/>
        <w:sz w:val="24"/>
      </w:rPr>
    </w:pPr>
    <w:r>
      <w:rPr>
        <w:noProof/>
      </w:rPr>
      <mc:AlternateContent>
        <mc:Choice Requires="wps">
          <w:drawing>
            <wp:anchor distT="0" distB="0" distL="114300" distR="114300" simplePos="0" relativeHeight="251658268" behindDoc="0" locked="1" layoutInCell="0" allowOverlap="1" wp14:anchorId="3A0E95E9" wp14:editId="28EBF899">
              <wp:simplePos x="0" y="0"/>
              <wp:positionH relativeFrom="margin">
                <wp:align>center</wp:align>
              </wp:positionH>
              <wp:positionV relativeFrom="bottomMargin">
                <wp:align>center</wp:align>
              </wp:positionV>
              <wp:extent cx="892175" cy="273050"/>
              <wp:effectExtent l="0" t="0" r="22225" b="12700"/>
              <wp:wrapNone/>
              <wp:docPr id="32" name="Text Box 3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6DE8552C" w14:textId="5D04BDC0" w:rsidR="00C8594A" w:rsidRPr="00C8594A" w:rsidRDefault="008200C8" w:rsidP="008200C8">
                          <w:pPr>
                            <w:spacing w:before="0" w:after="0"/>
                            <w:jc w:val="center"/>
                            <w:rPr>
                              <w:b/>
                              <w:color w:val="FF0000"/>
                              <w:sz w:val="24"/>
                            </w:rPr>
                          </w:pPr>
                          <w:r>
                            <w:rPr>
                              <w:b/>
                              <w:color w:val="FF0000"/>
                              <w:sz w:val="24"/>
                            </w:rPr>
                            <w:fldChar w:fldCharType="begin"/>
                          </w:r>
                          <w:r>
                            <w:rPr>
                              <w:b/>
                              <w:color w:val="FF0000"/>
                              <w:sz w:val="24"/>
                            </w:rPr>
                            <w:instrText xml:space="preserve"> DOCPROPERTY PM_ProtectiveMarkingValue_Footer \* MERGEFORMAT </w:instrText>
                          </w:r>
                          <w:r>
                            <w:rPr>
                              <w:b/>
                              <w:color w:val="FF0000"/>
                              <w:sz w:val="24"/>
                            </w:rPr>
                            <w:fldChar w:fldCharType="separate"/>
                          </w:r>
                          <w:r w:rsidR="001F7190">
                            <w:rPr>
                              <w:b/>
                              <w:color w:val="FF0000"/>
                              <w:sz w:val="24"/>
                            </w:rPr>
                            <w:t>UNOFFICIAL</w:t>
                          </w:r>
                          <w:r>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0E95E9" id="_x0000_t202" coordsize="21600,21600" o:spt="202" path="m,l,21600r21600,l21600,xe">
              <v:stroke joinstyle="miter"/>
              <v:path gradientshapeok="t" o:connecttype="rect"/>
            </v:shapetype>
            <v:shape id="Text Box 32" o:spid="_x0000_s1033" type="#_x0000_t202" style="position:absolute;left:0;text-align:left;margin-left:0;margin-top:0;width:70.25pt;height:21.5pt;z-index:25165826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" o:allowincell="f" filled="f" strokeweight=".5pt">
              <v:textbox style="mso-fit-shape-to-text:t">
                <w:txbxContent>
                  <w:p w14:paraId="6DE8552C" w14:textId="5D04BDC0" w:rsidR="00C8594A" w:rsidRPr="00C8594A" w:rsidRDefault="008200C8" w:rsidP="008200C8">
                    <w:pPr>
                      <w:spacing w:before="0" w:after="0"/>
                      <w:jc w:val="center"/>
                      <w:rPr>
                        <w:b/>
                        <w:color w:val="FF0000"/>
                        <w:sz w:val="24"/>
                      </w:rPr>
                    </w:pPr>
                    <w:r>
                      <w:rPr>
                        <w:b/>
                        <w:color w:val="FF0000"/>
                        <w:sz w:val="24"/>
                      </w:rPr>
                      <w:fldChar w:fldCharType="begin"/>
                    </w:r>
                    <w:r>
                      <w:rPr>
                        <w:b/>
                        <w:color w:val="FF0000"/>
                        <w:sz w:val="24"/>
                      </w:rPr>
                      <w:instrText xml:space="preserve"> DOCPROPERTY PM_ProtectiveMarkingValue_Footer \* MERGEFORMAT </w:instrText>
                    </w:r>
                    <w:r>
                      <w:rPr>
                        <w:b/>
                        <w:color w:val="FF0000"/>
                        <w:sz w:val="24"/>
                      </w:rPr>
                      <w:fldChar w:fldCharType="separate"/>
                    </w:r>
                    <w:r w:rsidR="001F7190">
                      <w:rPr>
                        <w:b/>
                        <w:color w:val="FF0000"/>
                        <w:sz w:val="24"/>
                      </w:rPr>
                      <w:t>UNOFFICIAL</w:t>
                    </w:r>
                    <w:r>
                      <w:rPr>
                        <w:b/>
                        <w:color w:val="FF0000"/>
                        <w:sz w:val="24"/>
                      </w:rPr>
                      <w:fldChar w:fldCharType="end"/>
                    </w:r>
                  </w:p>
                </w:txbxContent>
              </v:textbox>
              <w10:wrap anchorx="margin" anchory="margin"/>
              <w10:anchorlock/>
            </v:shape>
          </w:pict>
        </mc:Fallback>
      </mc:AlternateContent>
    </w:r>
    <w:r w:rsidR="00051F95">
      <w:rPr>
        <w:noProof/>
      </w:rPr>
      <mc:AlternateContent>
        <mc:Choice Requires="wps">
          <w:drawing>
            <wp:anchor distT="0" distB="0" distL="114300" distR="114300" simplePos="0" relativeHeight="251658256" behindDoc="0" locked="1" layoutInCell="0" allowOverlap="1" wp14:anchorId="059365E9" wp14:editId="38531917">
              <wp:simplePos x="0" y="0"/>
              <wp:positionH relativeFrom="margin">
                <wp:align>center</wp:align>
              </wp:positionH>
              <wp:positionV relativeFrom="bottomMargin">
                <wp:align>center</wp:align>
              </wp:positionV>
              <wp:extent cx="892175" cy="2730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50A90" w14:textId="3328EE80" w:rsidR="00051F95" w:rsidRPr="00051F95" w:rsidRDefault="00051F95" w:rsidP="00051F95">
                          <w:pPr>
                            <w:spacing w:before="0" w:after="0"/>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PM_ProtectiveMarkingValue_Footer \* MERGEFORMAT </w:instrText>
                          </w:r>
                          <w:r w:rsidRPr="00051F95">
                            <w:rPr>
                              <w:b/>
                              <w:color w:val="FF0000"/>
                              <w:sz w:val="24"/>
                            </w:rPr>
                            <w:fldChar w:fldCharType="separate"/>
                          </w:r>
                          <w:r w:rsidR="001F7190">
                            <w:rPr>
                              <w:b/>
                              <w:color w:val="FF0000"/>
                              <w:sz w:val="24"/>
                            </w:rPr>
                            <w:t>UNOFFICIAL</w:t>
                          </w:r>
                          <w:r w:rsidRPr="00051F9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9365E9" id="Text Box 20" o:spid="_x0000_s1034" type="#_x0000_t202" style="position:absolute;left:0;text-align:left;margin-left:0;margin-top:0;width:70.25pt;height:21.5pt;z-index:25165825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KKqkp8YAgAAMAQAAA4AAAAAAAAAAAAAAAAALgIAAGRycy9lMm9Eb2MueG1sUEsBAi0AFAAGAAgA&#10;AAAhAGk6TznbAAAABAEAAA8AAAAAAAAAAAAAAAAAcgQAAGRycy9kb3ducmV2LnhtbFBLBQYAAAAA&#10;BAAEAPMAAAB6BQAAAAA=&#10;" o:allowincell="f" filled="f" stroked="f" strokeweight=".5pt">
              <v:textbox style="mso-fit-shape-to-text:t">
                <w:txbxContent>
                  <w:p w14:paraId="01850A90" w14:textId="3328EE80" w:rsidR="00051F95" w:rsidRPr="00051F95" w:rsidRDefault="00051F95" w:rsidP="00051F95">
                    <w:pPr>
                      <w:spacing w:before="0" w:after="0"/>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PM_ProtectiveMarkingValue_Footer \* MERGEFORMAT </w:instrText>
                    </w:r>
                    <w:r w:rsidRPr="00051F95">
                      <w:rPr>
                        <w:b/>
                        <w:color w:val="FF0000"/>
                        <w:sz w:val="24"/>
                      </w:rPr>
                      <w:fldChar w:fldCharType="separate"/>
                    </w:r>
                    <w:r w:rsidR="001F7190">
                      <w:rPr>
                        <w:b/>
                        <w:color w:val="FF0000"/>
                        <w:sz w:val="24"/>
                      </w:rPr>
                      <w:t>UNOFFICIAL</w:t>
                    </w:r>
                    <w:r w:rsidRPr="00051F95">
                      <w:rPr>
                        <w:b/>
                        <w:color w:val="FF0000"/>
                        <w:sz w:val="24"/>
                      </w:rPr>
                      <w:fldChar w:fldCharType="end"/>
                    </w:r>
                  </w:p>
                </w:txbxContent>
              </v:textbox>
              <w10:wrap anchorx="margin" anchory="margin"/>
              <w10:anchorlock/>
            </v:shape>
          </w:pict>
        </mc:Fallback>
      </mc:AlternateContent>
    </w:r>
    <w:r w:rsidR="004D0ABD">
      <w:rPr>
        <w:noProof/>
      </w:rPr>
      <mc:AlternateContent>
        <mc:Choice Requires="wps">
          <w:drawing>
            <wp:anchor distT="0" distB="0" distL="114300" distR="114300" simplePos="0" relativeHeight="251658242" behindDoc="0" locked="1" layoutInCell="0" allowOverlap="1" wp14:anchorId="26E354A4" wp14:editId="373C3D1B">
              <wp:simplePos x="0" y="0"/>
              <wp:positionH relativeFrom="margin">
                <wp:align>center</wp:align>
              </wp:positionH>
              <wp:positionV relativeFrom="bottomMargin">
                <wp:align>center</wp:align>
              </wp:positionV>
              <wp:extent cx="892175"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922274" w14:textId="2BC2C168" w:rsidR="004D0ABD" w:rsidRPr="004D0ABD" w:rsidRDefault="004D0ABD" w:rsidP="004D0ABD">
                          <w:pPr>
                            <w:spacing w:before="0" w:after="0"/>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PM_ProtectiveMarkingValue_Footer \* MERGEFORMAT </w:instrText>
                          </w:r>
                          <w:r w:rsidRPr="004D0ABD">
                            <w:rPr>
                              <w:b/>
                              <w:color w:val="FF0000"/>
                              <w:sz w:val="24"/>
                            </w:rPr>
                            <w:fldChar w:fldCharType="separate"/>
                          </w:r>
                          <w:r w:rsidR="001F7190">
                            <w:rPr>
                              <w:b/>
                              <w:color w:val="FF0000"/>
                              <w:sz w:val="24"/>
                            </w:rPr>
                            <w:t>UNOFFICIAL</w:t>
                          </w:r>
                          <w:r w:rsidRPr="004D0AB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E354A4" id="Text Box 8" o:spid="_x0000_s1035" type="#_x0000_t202" style="position:absolute;left:0;text-align:left;margin-left:0;margin-top:0;width:70.25pt;height:21.5pt;z-index:25165824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eD3UDGQIAADAEAAAOAAAAAAAAAAAAAAAAAC4CAABkcnMvZTJvRG9jLnhtbFBLAQItABQABgAI&#10;AAAAIQBpOk852wAAAAQBAAAPAAAAAAAAAAAAAAAAAHMEAABkcnMvZG93bnJldi54bWxQSwUGAAAA&#10;AAQABADzAAAAewUAAAAA&#10;" o:allowincell="f" filled="f" stroked="f" strokeweight=".5pt">
              <v:textbox style="mso-fit-shape-to-text:t">
                <w:txbxContent>
                  <w:p w14:paraId="65922274" w14:textId="2BC2C168" w:rsidR="004D0ABD" w:rsidRPr="004D0ABD" w:rsidRDefault="004D0ABD" w:rsidP="004D0ABD">
                    <w:pPr>
                      <w:spacing w:before="0" w:after="0"/>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PM_ProtectiveMarkingValue_Footer \* MERGEFORMAT </w:instrText>
                    </w:r>
                    <w:r w:rsidRPr="004D0ABD">
                      <w:rPr>
                        <w:b/>
                        <w:color w:val="FF0000"/>
                        <w:sz w:val="24"/>
                      </w:rPr>
                      <w:fldChar w:fldCharType="separate"/>
                    </w:r>
                    <w:r w:rsidR="001F7190">
                      <w:rPr>
                        <w:b/>
                        <w:color w:val="FF0000"/>
                        <w:sz w:val="24"/>
                      </w:rPr>
                      <w:t>UNOFFICIAL</w:t>
                    </w:r>
                    <w:r w:rsidRPr="004D0ABD">
                      <w:rPr>
                        <w:b/>
                        <w:color w:val="FF0000"/>
                        <w:sz w:val="24"/>
                      </w:rPr>
                      <w:fldChar w:fldCharType="end"/>
                    </w:r>
                  </w:p>
                </w:txbxContent>
              </v:textbox>
              <w10:wrap anchorx="margin" anchory="margin"/>
              <w10:anchorlock/>
            </v:shape>
          </w:pict>
        </mc:Fallback>
      </mc:AlternateContent>
    </w:r>
    <w:r w:rsidR="00857B90">
      <w:fldChar w:fldCharType="begin" w:fldLock="1"/>
    </w:r>
    <w:r w:rsidR="00857B90">
      <w:instrText xml:space="preserve"> DOCPROPERTY bjFooterFirstPageDocProperty \* MERGEFORMAT </w:instrText>
    </w:r>
    <w:r w:rsidR="00857B90">
      <w:fldChar w:fldCharType="separate"/>
    </w:r>
  </w:p>
  <w:p w14:paraId="67339AA9" w14:textId="77777777" w:rsidR="00857B90" w:rsidRPr="00C92452" w:rsidRDefault="00857B90" w:rsidP="00C92452">
    <w:pPr>
      <w:pStyle w:val="Footer"/>
      <w:jc w:val="center"/>
    </w:pPr>
    <w:r w:rsidRPr="00C92452">
      <w:rPr>
        <w:rFonts w:ascii="Calibri" w:hAnsi="Calibri" w:cs="Calibri"/>
        <w:b/>
        <w:color w:val="F00000"/>
        <w:sz w:val="24"/>
      </w:rPr>
      <w:t>OFFICIAL</w:t>
    </w:r>
    <w:r>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516C" w14:textId="7F5CF5C8" w:rsidR="00C92452" w:rsidRPr="00C92452" w:rsidRDefault="00C8594A" w:rsidP="00C92452">
    <w:pPr>
      <w:pStyle w:val="Footer"/>
      <w:framePr w:wrap="around" w:vAnchor="text" w:hAnchor="margin" w:xAlign="center" w:y="1"/>
      <w:jc w:val="center"/>
      <w:rPr>
        <w:rStyle w:val="PageNumber"/>
        <w:rFonts w:ascii="Calibri" w:hAnsi="Calibri" w:cs="Calibri"/>
        <w:b/>
        <w:color w:val="F00000"/>
        <w:sz w:val="24"/>
      </w:rPr>
    </w:pPr>
    <w:r>
      <w:rPr>
        <w:noProof/>
      </w:rPr>
      <mc:AlternateContent>
        <mc:Choice Requires="wps">
          <w:drawing>
            <wp:anchor distT="0" distB="0" distL="114300" distR="114300" simplePos="0" relativeHeight="251658275" behindDoc="0" locked="1" layoutInCell="0" allowOverlap="1" wp14:anchorId="6947C022" wp14:editId="62BB1A03">
              <wp:simplePos x="0" y="0"/>
              <wp:positionH relativeFrom="margin">
                <wp:align>center</wp:align>
              </wp:positionH>
              <wp:positionV relativeFrom="bottomMargin">
                <wp:align>center</wp:align>
              </wp:positionV>
              <wp:extent cx="892175" cy="273050"/>
              <wp:effectExtent l="0" t="0" r="22225" b="12700"/>
              <wp:wrapNone/>
              <wp:docPr id="39" name="Text Box 3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7F6E2118" w14:textId="3921B69F" w:rsidR="00C8594A" w:rsidRPr="00C8594A" w:rsidRDefault="00C8594A" w:rsidP="008200C8">
                          <w:pPr>
                            <w:spacing w:before="0" w:after="0"/>
                            <w:jc w:val="center"/>
                            <w:rPr>
                              <w:b/>
                              <w:color w:val="FF0000"/>
                              <w:sz w:val="24"/>
                            </w:rPr>
                          </w:pPr>
                          <w:r w:rsidRPr="00C8594A">
                            <w:rPr>
                              <w:b/>
                              <w:color w:val="FF0000"/>
                              <w:sz w:val="24"/>
                            </w:rPr>
                            <w:fldChar w:fldCharType="begin"/>
                          </w:r>
                          <w:r w:rsidRPr="00C8594A">
                            <w:rPr>
                              <w:b/>
                              <w:color w:val="FF0000"/>
                              <w:sz w:val="24"/>
                            </w:rPr>
                            <w:instrText xml:space="preserve"> DOCPROPERTY PM_ProtectiveMarkingValue_Footer \* MERGEFORMAT </w:instrText>
                          </w:r>
                          <w:r w:rsidRPr="00C8594A">
                            <w:rPr>
                              <w:b/>
                              <w:color w:val="FF0000"/>
                              <w:sz w:val="24"/>
                            </w:rPr>
                            <w:fldChar w:fldCharType="separate"/>
                          </w:r>
                          <w:r w:rsidR="001F7190">
                            <w:rPr>
                              <w:b/>
                              <w:color w:val="FF0000"/>
                              <w:sz w:val="24"/>
                            </w:rPr>
                            <w:t>UNOFFICIAL</w:t>
                          </w:r>
                          <w:r w:rsidRPr="00C8594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47C022" id="_x0000_t202" coordsize="21600,21600" o:spt="202" path="m,l,21600r21600,l21600,xe">
              <v:stroke joinstyle="miter"/>
              <v:path gradientshapeok="t" o:connecttype="rect"/>
            </v:shapetype>
            <v:shape id="Text Box 39" o:spid="_x0000_s1038" type="#_x0000_t202" style="position:absolute;left:0;text-align:left;margin-left:0;margin-top:0;width:70.25pt;height:21.5pt;z-index:25165827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" o:allowincell="f" filled="f" strokeweight=".5pt">
              <v:textbox style="mso-fit-shape-to-text:t">
                <w:txbxContent>
                  <w:p w14:paraId="7F6E2118" w14:textId="3921B69F" w:rsidR="00C8594A" w:rsidRPr="00C8594A" w:rsidRDefault="00C8594A" w:rsidP="008200C8">
                    <w:pPr>
                      <w:spacing w:before="0" w:after="0"/>
                      <w:jc w:val="center"/>
                      <w:rPr>
                        <w:b/>
                        <w:color w:val="FF0000"/>
                        <w:sz w:val="24"/>
                      </w:rPr>
                    </w:pPr>
                    <w:r w:rsidRPr="00C8594A">
                      <w:rPr>
                        <w:b/>
                        <w:color w:val="FF0000"/>
                        <w:sz w:val="24"/>
                      </w:rPr>
                      <w:fldChar w:fldCharType="begin"/>
                    </w:r>
                    <w:r w:rsidRPr="00C8594A">
                      <w:rPr>
                        <w:b/>
                        <w:color w:val="FF0000"/>
                        <w:sz w:val="24"/>
                      </w:rPr>
                      <w:instrText xml:space="preserve"> DOCPROPERTY PM_ProtectiveMarkingValue_Footer \* MERGEFORMAT </w:instrText>
                    </w:r>
                    <w:r w:rsidRPr="00C8594A">
                      <w:rPr>
                        <w:b/>
                        <w:color w:val="FF0000"/>
                        <w:sz w:val="24"/>
                      </w:rPr>
                      <w:fldChar w:fldCharType="separate"/>
                    </w:r>
                    <w:r w:rsidR="001F7190">
                      <w:rPr>
                        <w:b/>
                        <w:color w:val="FF0000"/>
                        <w:sz w:val="24"/>
                      </w:rPr>
                      <w:t>UNOFFICIAL</w:t>
                    </w:r>
                    <w:r w:rsidRPr="00C8594A">
                      <w:rPr>
                        <w:b/>
                        <w:color w:val="FF0000"/>
                        <w:sz w:val="24"/>
                      </w:rPr>
                      <w:fldChar w:fldCharType="end"/>
                    </w:r>
                  </w:p>
                </w:txbxContent>
              </v:textbox>
              <w10:wrap anchorx="margin" anchory="margin"/>
              <w10:anchorlock/>
            </v:shape>
          </w:pict>
        </mc:Fallback>
      </mc:AlternateContent>
    </w:r>
    <w:r w:rsidR="00051F95">
      <w:rPr>
        <w:noProof/>
      </w:rPr>
      <mc:AlternateContent>
        <mc:Choice Requires="wps">
          <w:drawing>
            <wp:anchor distT="0" distB="0" distL="114300" distR="114300" simplePos="0" relativeHeight="251658263" behindDoc="0" locked="1" layoutInCell="0" allowOverlap="1" wp14:anchorId="32FB0E46" wp14:editId="23B07655">
              <wp:simplePos x="0" y="0"/>
              <wp:positionH relativeFrom="margin">
                <wp:align>center</wp:align>
              </wp:positionH>
              <wp:positionV relativeFrom="bottomMargin">
                <wp:align>center</wp:align>
              </wp:positionV>
              <wp:extent cx="892175" cy="2730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E8D4AD" w14:textId="6F8AE0AE" w:rsidR="00051F95" w:rsidRPr="00051F95" w:rsidRDefault="00051F95" w:rsidP="00051F95">
                          <w:pPr>
                            <w:spacing w:before="0" w:after="0"/>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PM_ProtectiveMarkingValue_Footer \* MERGEFORMAT </w:instrText>
                          </w:r>
                          <w:r w:rsidRPr="00051F95">
                            <w:rPr>
                              <w:b/>
                              <w:color w:val="FF0000"/>
                              <w:sz w:val="24"/>
                            </w:rPr>
                            <w:fldChar w:fldCharType="separate"/>
                          </w:r>
                          <w:r w:rsidR="001F7190">
                            <w:rPr>
                              <w:b/>
                              <w:color w:val="FF0000"/>
                              <w:sz w:val="24"/>
                            </w:rPr>
                            <w:t>UNOFFICIAL</w:t>
                          </w:r>
                          <w:r w:rsidRPr="00051F9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FB0E46" id="Text Box 27" o:spid="_x0000_s1039" type="#_x0000_t202" style="position:absolute;left:0;text-align:left;margin-left:0;margin-top:0;width:70.25pt;height:21.5pt;z-index:25165826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QGAIAADE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jjE5zrCnfYzxLB+adkcsKTTwJ&#10;51+FBdWYCPL1L1iKmlCMjhZnJdmff7sP8WAAXs5aSCfjGtrmrP6uwczdYDwOSouH8WQ6xMFee9bX&#10;Hr1tHgjaHOCbGBnNEO/rk1lYat6h8UWoCZfQEpUz7k/mgz/IGX9EqsUiBkFbRvgnvTIypA7QBYDf&#10;undhzZEFD/qe6SQxkX4g4xAbXjqz2HpQEpkKMB8wPaIPXUYCj38oCP/6HKM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n0f9AYAgAAMQQAAA4AAAAAAAAAAAAAAAAALgIAAGRycy9lMm9Eb2MueG1sUEsBAi0AFAAGAAgA&#10;AAAhAGk6TznbAAAABAEAAA8AAAAAAAAAAAAAAAAAcgQAAGRycy9kb3ducmV2LnhtbFBLBQYAAAAA&#10;BAAEAPMAAAB6BQAAAAA=&#10;" o:allowincell="f" filled="f" stroked="f" strokeweight=".5pt">
              <v:textbox style="mso-fit-shape-to-text:t">
                <w:txbxContent>
                  <w:p w14:paraId="32E8D4AD" w14:textId="6F8AE0AE" w:rsidR="00051F95" w:rsidRPr="00051F95" w:rsidRDefault="00051F95" w:rsidP="00051F95">
                    <w:pPr>
                      <w:spacing w:before="0" w:after="0"/>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PM_ProtectiveMarkingValue_Footer \* MERGEFORMAT </w:instrText>
                    </w:r>
                    <w:r w:rsidRPr="00051F95">
                      <w:rPr>
                        <w:b/>
                        <w:color w:val="FF0000"/>
                        <w:sz w:val="24"/>
                      </w:rPr>
                      <w:fldChar w:fldCharType="separate"/>
                    </w:r>
                    <w:r w:rsidR="001F7190">
                      <w:rPr>
                        <w:b/>
                        <w:color w:val="FF0000"/>
                        <w:sz w:val="24"/>
                      </w:rPr>
                      <w:t>UNOFFICIAL</w:t>
                    </w:r>
                    <w:r w:rsidRPr="00051F95">
                      <w:rPr>
                        <w:b/>
                        <w:color w:val="FF0000"/>
                        <w:sz w:val="24"/>
                      </w:rPr>
                      <w:fldChar w:fldCharType="end"/>
                    </w:r>
                  </w:p>
                </w:txbxContent>
              </v:textbox>
              <w10:wrap anchorx="margin" anchory="margin"/>
              <w10:anchorlock/>
            </v:shape>
          </w:pict>
        </mc:Fallback>
      </mc:AlternateContent>
    </w:r>
    <w:r w:rsidR="004D0ABD">
      <w:rPr>
        <w:noProof/>
      </w:rPr>
      <mc:AlternateContent>
        <mc:Choice Requires="wps">
          <w:drawing>
            <wp:anchor distT="0" distB="0" distL="114300" distR="114300" simplePos="0" relativeHeight="251658249" behindDoc="0" locked="1" layoutInCell="0" allowOverlap="1" wp14:anchorId="0512D10A" wp14:editId="28EF3609">
              <wp:simplePos x="0" y="0"/>
              <wp:positionH relativeFrom="margin">
                <wp:align>center</wp:align>
              </wp:positionH>
              <wp:positionV relativeFrom="bottomMargin">
                <wp:align>center</wp:align>
              </wp:positionV>
              <wp:extent cx="892175" cy="273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4BBB1" w14:textId="7C82899B" w:rsidR="004D0ABD" w:rsidRPr="004D0ABD" w:rsidRDefault="004D0ABD" w:rsidP="004D0ABD">
                          <w:pPr>
                            <w:spacing w:before="0" w:after="0"/>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PM_ProtectiveMarkingValue_Footer \* MERGEFORMAT </w:instrText>
                          </w:r>
                          <w:r w:rsidRPr="004D0ABD">
                            <w:rPr>
                              <w:b/>
                              <w:color w:val="FF0000"/>
                              <w:sz w:val="24"/>
                            </w:rPr>
                            <w:fldChar w:fldCharType="separate"/>
                          </w:r>
                          <w:r w:rsidR="001F7190">
                            <w:rPr>
                              <w:b/>
                              <w:color w:val="FF0000"/>
                              <w:sz w:val="24"/>
                            </w:rPr>
                            <w:t>UNOFFICIAL</w:t>
                          </w:r>
                          <w:r w:rsidRPr="004D0AB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12D10A" id="Text Box 15" o:spid="_x0000_s1040" type="#_x0000_t202" style="position:absolute;left:0;text-align:left;margin-left:0;margin-top:0;width:70.25pt;height:21.5pt;z-index:25165824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uw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vgyuwGQIAADEEAAAOAAAAAAAAAAAAAAAAAC4CAABkcnMvZTJvRG9jLnhtbFBLAQItABQABgAI&#10;AAAAIQBpOk852wAAAAQBAAAPAAAAAAAAAAAAAAAAAHMEAABkcnMvZG93bnJldi54bWxQSwUGAAAA&#10;AAQABADzAAAAewUAAAAA&#10;" o:allowincell="f" filled="f" stroked="f" strokeweight=".5pt">
              <v:textbox style="mso-fit-shape-to-text:t">
                <w:txbxContent>
                  <w:p w14:paraId="76E4BBB1" w14:textId="7C82899B" w:rsidR="004D0ABD" w:rsidRPr="004D0ABD" w:rsidRDefault="004D0ABD" w:rsidP="004D0ABD">
                    <w:pPr>
                      <w:spacing w:before="0" w:after="0"/>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PM_ProtectiveMarkingValue_Footer \* MERGEFORMAT </w:instrText>
                    </w:r>
                    <w:r w:rsidRPr="004D0ABD">
                      <w:rPr>
                        <w:b/>
                        <w:color w:val="FF0000"/>
                        <w:sz w:val="24"/>
                      </w:rPr>
                      <w:fldChar w:fldCharType="separate"/>
                    </w:r>
                    <w:r w:rsidR="001F7190">
                      <w:rPr>
                        <w:b/>
                        <w:color w:val="FF0000"/>
                        <w:sz w:val="24"/>
                      </w:rPr>
                      <w:t>UNOFFICIAL</w:t>
                    </w:r>
                    <w:r w:rsidRPr="004D0ABD">
                      <w:rPr>
                        <w:b/>
                        <w:color w:val="FF0000"/>
                        <w:sz w:val="24"/>
                      </w:rPr>
                      <w:fldChar w:fldCharType="end"/>
                    </w:r>
                  </w:p>
                </w:txbxContent>
              </v:textbox>
              <w10:wrap anchorx="margin" anchory="margin"/>
              <w10:anchorlock/>
            </v:shape>
          </w:pict>
        </mc:Fallback>
      </mc:AlternateContent>
    </w:r>
    <w:r w:rsidR="00C92452">
      <w:rPr>
        <w:rStyle w:val="PageNumber"/>
      </w:rPr>
      <w:fldChar w:fldCharType="begin" w:fldLock="1"/>
    </w:r>
    <w:r w:rsidR="00C92452">
      <w:rPr>
        <w:rStyle w:val="PageNumber"/>
      </w:rPr>
      <w:instrText xml:space="preserve"> DOCPROPERTY bjFooterEvenPageDocProperty \* MERGEFORMAT </w:instrText>
    </w:r>
    <w:r w:rsidR="00C92452">
      <w:rPr>
        <w:rStyle w:val="PageNumber"/>
      </w:rPr>
      <w:fldChar w:fldCharType="separate"/>
    </w:r>
  </w:p>
  <w:p w14:paraId="0A8463DF" w14:textId="77777777" w:rsidR="00B92501" w:rsidRDefault="00C92452" w:rsidP="00C92452">
    <w:pPr>
      <w:pStyle w:val="Footer"/>
      <w:framePr w:wrap="around" w:vAnchor="text" w:hAnchor="margin" w:xAlign="center" w:y="1"/>
      <w:jc w:val="center"/>
      <w:rPr>
        <w:rStyle w:val="PageNumber"/>
      </w:rPr>
    </w:pPr>
    <w:r w:rsidRPr="00C92452">
      <w:rPr>
        <w:rStyle w:val="PageNumber"/>
        <w:rFonts w:ascii="Calibri" w:hAnsi="Calibri" w:cs="Calibri"/>
        <w:b/>
        <w:color w:val="F00000"/>
        <w:sz w:val="24"/>
      </w:rPr>
      <w:t>OFFICIAL</w:t>
    </w:r>
    <w:r>
      <w:rPr>
        <w:rStyle w:val="PageNumber"/>
      </w:rPr>
      <w:t xml:space="preserve"> </w:t>
    </w:r>
    <w:r>
      <w:rPr>
        <w:rStyle w:val="PageNumber"/>
      </w:rPr>
      <w:fldChar w:fldCharType="end"/>
    </w:r>
    <w:r w:rsidR="00B92501">
      <w:rPr>
        <w:rStyle w:val="PageNumber"/>
      </w:rPr>
      <w:fldChar w:fldCharType="begin"/>
    </w:r>
    <w:r w:rsidR="00B92501">
      <w:rPr>
        <w:rStyle w:val="PageNumber"/>
      </w:rPr>
      <w:instrText xml:space="preserve">PAGE  </w:instrText>
    </w:r>
    <w:r w:rsidR="00B92501">
      <w:rPr>
        <w:rStyle w:val="PageNumber"/>
      </w:rPr>
      <w:fldChar w:fldCharType="end"/>
    </w:r>
  </w:p>
  <w:p w14:paraId="13F80801" w14:textId="77777777" w:rsidR="00B92501" w:rsidRDefault="00B92501" w:rsidP="00C924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526271"/>
      <w:docPartObj>
        <w:docPartGallery w:val="Page Numbers (Bottom of Page)"/>
        <w:docPartUnique/>
      </w:docPartObj>
    </w:sdtPr>
    <w:sdtEndPr>
      <w:rPr>
        <w:noProof/>
      </w:rPr>
    </w:sdtEndPr>
    <w:sdtContent>
      <w:p w14:paraId="1EF22AAB" w14:textId="1CAFA39A" w:rsidR="00B05D62" w:rsidRDefault="00B05D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8BB654" w14:textId="04D40A4A" w:rsidR="00B92501" w:rsidRDefault="00B92501" w:rsidP="001D1BB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E719" w14:textId="1E7C0860" w:rsidR="00C92452" w:rsidRPr="00C92452" w:rsidRDefault="00C8594A" w:rsidP="00C92452">
    <w:pPr>
      <w:pStyle w:val="Footer"/>
      <w:jc w:val="center"/>
      <w:rPr>
        <w:rFonts w:ascii="Calibri" w:hAnsi="Calibri" w:cs="Calibri"/>
        <w:b/>
        <w:color w:val="F00000"/>
        <w:sz w:val="24"/>
      </w:rPr>
    </w:pPr>
    <w:r>
      <w:rPr>
        <w:noProof/>
      </w:rPr>
      <mc:AlternateContent>
        <mc:Choice Requires="wps">
          <w:drawing>
            <wp:anchor distT="0" distB="0" distL="114300" distR="114300" simplePos="0" relativeHeight="251658274" behindDoc="0" locked="1" layoutInCell="0" allowOverlap="1" wp14:anchorId="4AAE19D8" wp14:editId="04B6905A">
              <wp:simplePos x="0" y="0"/>
              <wp:positionH relativeFrom="margin">
                <wp:align>center</wp:align>
              </wp:positionH>
              <wp:positionV relativeFrom="bottomMargin">
                <wp:align>center</wp:align>
              </wp:positionV>
              <wp:extent cx="892175" cy="273050"/>
              <wp:effectExtent l="0" t="0" r="22225" b="12700"/>
              <wp:wrapNone/>
              <wp:docPr id="38" name="Text Box 3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14EFF6F1" w14:textId="4FBF8A72" w:rsidR="00C8594A" w:rsidRPr="00C8594A" w:rsidRDefault="00C8594A" w:rsidP="008200C8">
                          <w:pPr>
                            <w:spacing w:before="0" w:after="0"/>
                            <w:jc w:val="center"/>
                            <w:rPr>
                              <w:b/>
                              <w:color w:val="FF0000"/>
                              <w:sz w:val="24"/>
                            </w:rPr>
                          </w:pPr>
                          <w:r w:rsidRPr="00C8594A">
                            <w:rPr>
                              <w:b/>
                              <w:color w:val="FF0000"/>
                              <w:sz w:val="24"/>
                            </w:rPr>
                            <w:fldChar w:fldCharType="begin"/>
                          </w:r>
                          <w:r w:rsidRPr="00C8594A">
                            <w:rPr>
                              <w:b/>
                              <w:color w:val="FF0000"/>
                              <w:sz w:val="24"/>
                            </w:rPr>
                            <w:instrText xml:space="preserve"> DOCPROPERTY PM_ProtectiveMarkingValue_Footer \* MERGEFORMAT </w:instrText>
                          </w:r>
                          <w:r w:rsidRPr="00C8594A">
                            <w:rPr>
                              <w:b/>
                              <w:color w:val="FF0000"/>
                              <w:sz w:val="24"/>
                            </w:rPr>
                            <w:fldChar w:fldCharType="separate"/>
                          </w:r>
                          <w:r w:rsidR="001F7190">
                            <w:rPr>
                              <w:b/>
                              <w:color w:val="FF0000"/>
                              <w:sz w:val="24"/>
                            </w:rPr>
                            <w:t>UNOFFICIAL</w:t>
                          </w:r>
                          <w:r w:rsidRPr="00C8594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AE19D8" id="_x0000_t202" coordsize="21600,21600" o:spt="202" path="m,l,21600r21600,l21600,xe">
              <v:stroke joinstyle="miter"/>
              <v:path gradientshapeok="t" o:connecttype="rect"/>
            </v:shapetype>
            <v:shape id="Text Box 38" o:spid="_x0000_s1043" type="#_x0000_t202" style="position:absolute;left:0;text-align:left;margin-left:0;margin-top:0;width:70.25pt;height:21.5pt;z-index:25165827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" o:allowincell="f" filled="f" strokeweight=".5pt">
              <v:textbox style="mso-fit-shape-to-text:t">
                <w:txbxContent>
                  <w:p w14:paraId="14EFF6F1" w14:textId="4FBF8A72" w:rsidR="00C8594A" w:rsidRPr="00C8594A" w:rsidRDefault="00C8594A" w:rsidP="008200C8">
                    <w:pPr>
                      <w:spacing w:before="0" w:after="0"/>
                      <w:jc w:val="center"/>
                      <w:rPr>
                        <w:b/>
                        <w:color w:val="FF0000"/>
                        <w:sz w:val="24"/>
                      </w:rPr>
                    </w:pPr>
                    <w:r w:rsidRPr="00C8594A">
                      <w:rPr>
                        <w:b/>
                        <w:color w:val="FF0000"/>
                        <w:sz w:val="24"/>
                      </w:rPr>
                      <w:fldChar w:fldCharType="begin"/>
                    </w:r>
                    <w:r w:rsidRPr="00C8594A">
                      <w:rPr>
                        <w:b/>
                        <w:color w:val="FF0000"/>
                        <w:sz w:val="24"/>
                      </w:rPr>
                      <w:instrText xml:space="preserve"> DOCPROPERTY PM_ProtectiveMarkingValue_Footer \* MERGEFORMAT </w:instrText>
                    </w:r>
                    <w:r w:rsidRPr="00C8594A">
                      <w:rPr>
                        <w:b/>
                        <w:color w:val="FF0000"/>
                        <w:sz w:val="24"/>
                      </w:rPr>
                      <w:fldChar w:fldCharType="separate"/>
                    </w:r>
                    <w:r w:rsidR="001F7190">
                      <w:rPr>
                        <w:b/>
                        <w:color w:val="FF0000"/>
                        <w:sz w:val="24"/>
                      </w:rPr>
                      <w:t>UNOFFICIAL</w:t>
                    </w:r>
                    <w:r w:rsidRPr="00C8594A">
                      <w:rPr>
                        <w:b/>
                        <w:color w:val="FF0000"/>
                        <w:sz w:val="24"/>
                      </w:rPr>
                      <w:fldChar w:fldCharType="end"/>
                    </w:r>
                  </w:p>
                </w:txbxContent>
              </v:textbox>
              <w10:wrap anchorx="margin" anchory="margin"/>
              <w10:anchorlock/>
            </v:shape>
          </w:pict>
        </mc:Fallback>
      </mc:AlternateContent>
    </w:r>
    <w:r w:rsidR="00051F95">
      <w:rPr>
        <w:noProof/>
      </w:rPr>
      <mc:AlternateContent>
        <mc:Choice Requires="wps">
          <w:drawing>
            <wp:anchor distT="0" distB="0" distL="114300" distR="114300" simplePos="0" relativeHeight="251658262" behindDoc="0" locked="1" layoutInCell="0" allowOverlap="1" wp14:anchorId="6F2DEE31" wp14:editId="465EF69A">
              <wp:simplePos x="0" y="0"/>
              <wp:positionH relativeFrom="margin">
                <wp:align>center</wp:align>
              </wp:positionH>
              <wp:positionV relativeFrom="bottomMargin">
                <wp:align>center</wp:align>
              </wp:positionV>
              <wp:extent cx="892175" cy="2730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C36F86" w14:textId="624B6112" w:rsidR="00051F95" w:rsidRPr="00051F95" w:rsidRDefault="00051F95" w:rsidP="00051F95">
                          <w:pPr>
                            <w:spacing w:before="0" w:after="0"/>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PM_ProtectiveMarkingValue_Footer \* MERGEFORMAT </w:instrText>
                          </w:r>
                          <w:r w:rsidRPr="00051F95">
                            <w:rPr>
                              <w:b/>
                              <w:color w:val="FF0000"/>
                              <w:sz w:val="24"/>
                            </w:rPr>
                            <w:fldChar w:fldCharType="separate"/>
                          </w:r>
                          <w:r w:rsidR="001F7190">
                            <w:rPr>
                              <w:b/>
                              <w:color w:val="FF0000"/>
                              <w:sz w:val="24"/>
                            </w:rPr>
                            <w:t>UNOFFICIAL</w:t>
                          </w:r>
                          <w:r w:rsidRPr="00051F9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2DEE31" id="Text Box 26" o:spid="_x0000_s1044" type="#_x0000_t202" style="position:absolute;left:0;text-align:left;margin-left:0;margin-top:0;width:70.25pt;height:21.5pt;z-index:25165826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2SGQIAADE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MaanOdaU7zGepQPzzshlhSae&#10;hPOvwoJqTAT5+hcsRU0oRkeLs5Lsz7/dh3gwAC9nLaSTcQ1tc1Z/12Dmbj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6IT2SGQIAADEEAAAOAAAAAAAAAAAAAAAAAC4CAABkcnMvZTJvRG9jLnhtbFBLAQItABQABgAI&#10;AAAAIQBpOk852wAAAAQBAAAPAAAAAAAAAAAAAAAAAHMEAABkcnMvZG93bnJldi54bWxQSwUGAAAA&#10;AAQABADzAAAAewUAAAAA&#10;" o:allowincell="f" filled="f" stroked="f" strokeweight=".5pt">
              <v:textbox style="mso-fit-shape-to-text:t">
                <w:txbxContent>
                  <w:p w14:paraId="71C36F86" w14:textId="624B6112" w:rsidR="00051F95" w:rsidRPr="00051F95" w:rsidRDefault="00051F95" w:rsidP="00051F95">
                    <w:pPr>
                      <w:spacing w:before="0" w:after="0"/>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PM_ProtectiveMarkingValue_Footer \* MERGEFORMAT </w:instrText>
                    </w:r>
                    <w:r w:rsidRPr="00051F95">
                      <w:rPr>
                        <w:b/>
                        <w:color w:val="FF0000"/>
                        <w:sz w:val="24"/>
                      </w:rPr>
                      <w:fldChar w:fldCharType="separate"/>
                    </w:r>
                    <w:r w:rsidR="001F7190">
                      <w:rPr>
                        <w:b/>
                        <w:color w:val="FF0000"/>
                        <w:sz w:val="24"/>
                      </w:rPr>
                      <w:t>UNOFFICIAL</w:t>
                    </w:r>
                    <w:r w:rsidRPr="00051F95">
                      <w:rPr>
                        <w:b/>
                        <w:color w:val="FF0000"/>
                        <w:sz w:val="24"/>
                      </w:rPr>
                      <w:fldChar w:fldCharType="end"/>
                    </w:r>
                  </w:p>
                </w:txbxContent>
              </v:textbox>
              <w10:wrap anchorx="margin" anchory="margin"/>
              <w10:anchorlock/>
            </v:shape>
          </w:pict>
        </mc:Fallback>
      </mc:AlternateContent>
    </w:r>
    <w:r w:rsidR="004D0ABD">
      <w:rPr>
        <w:noProof/>
      </w:rPr>
      <mc:AlternateContent>
        <mc:Choice Requires="wps">
          <w:drawing>
            <wp:anchor distT="0" distB="0" distL="114300" distR="114300" simplePos="0" relativeHeight="251658248" behindDoc="0" locked="1" layoutInCell="0" allowOverlap="1" wp14:anchorId="1394D005" wp14:editId="42069D48">
              <wp:simplePos x="0" y="0"/>
              <wp:positionH relativeFrom="margin">
                <wp:align>center</wp:align>
              </wp:positionH>
              <wp:positionV relativeFrom="bottomMargin">
                <wp:align>center</wp:align>
              </wp:positionV>
              <wp:extent cx="892175" cy="2730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38782" w14:textId="711ED95E" w:rsidR="004D0ABD" w:rsidRPr="004D0ABD" w:rsidRDefault="004D0ABD" w:rsidP="004D0ABD">
                          <w:pPr>
                            <w:spacing w:before="0" w:after="0"/>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PM_ProtectiveMarkingValue_Footer \* MERGEFORMAT </w:instrText>
                          </w:r>
                          <w:r w:rsidRPr="004D0ABD">
                            <w:rPr>
                              <w:b/>
                              <w:color w:val="FF0000"/>
                              <w:sz w:val="24"/>
                            </w:rPr>
                            <w:fldChar w:fldCharType="separate"/>
                          </w:r>
                          <w:r w:rsidR="001F7190">
                            <w:rPr>
                              <w:b/>
                              <w:color w:val="FF0000"/>
                              <w:sz w:val="24"/>
                            </w:rPr>
                            <w:t>UNOFFICIAL</w:t>
                          </w:r>
                          <w:r w:rsidRPr="004D0AB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94D005" id="Text Box 14" o:spid="_x0000_s1045" type="#_x0000_t202" style="position:absolute;left:0;text-align:left;margin-left:0;margin-top:0;width:70.25pt;height:21.5pt;z-index:25165824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oOGQIAADE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Y0xPc6wp32M8SwfmnZHLCk08&#10;CedfhQXVmAjy9S9YippQjI4WZyXZn3+7D/FgAF7OWkgn4xra5qz+rsHMdD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GhNoOGQIAADEEAAAOAAAAAAAAAAAAAAAAAC4CAABkcnMvZTJvRG9jLnhtbFBLAQItABQABgAI&#10;AAAAIQBpOk852wAAAAQBAAAPAAAAAAAAAAAAAAAAAHMEAABkcnMvZG93bnJldi54bWxQSwUGAAAA&#10;AAQABADzAAAAewUAAAAA&#10;" o:allowincell="f" filled="f" stroked="f" strokeweight=".5pt">
              <v:textbox style="mso-fit-shape-to-text:t">
                <w:txbxContent>
                  <w:p w14:paraId="25038782" w14:textId="711ED95E" w:rsidR="004D0ABD" w:rsidRPr="004D0ABD" w:rsidRDefault="004D0ABD" w:rsidP="004D0ABD">
                    <w:pPr>
                      <w:spacing w:before="0" w:after="0"/>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PM_ProtectiveMarkingValue_Footer \* MERGEFORMAT </w:instrText>
                    </w:r>
                    <w:r w:rsidRPr="004D0ABD">
                      <w:rPr>
                        <w:b/>
                        <w:color w:val="FF0000"/>
                        <w:sz w:val="24"/>
                      </w:rPr>
                      <w:fldChar w:fldCharType="separate"/>
                    </w:r>
                    <w:r w:rsidR="001F7190">
                      <w:rPr>
                        <w:b/>
                        <w:color w:val="FF0000"/>
                        <w:sz w:val="24"/>
                      </w:rPr>
                      <w:t>UNOFFICIAL</w:t>
                    </w:r>
                    <w:r w:rsidRPr="004D0ABD">
                      <w:rPr>
                        <w:b/>
                        <w:color w:val="FF0000"/>
                        <w:sz w:val="24"/>
                      </w:rPr>
                      <w:fldChar w:fldCharType="end"/>
                    </w:r>
                  </w:p>
                </w:txbxContent>
              </v:textbox>
              <w10:wrap anchorx="margin" anchory="margin"/>
              <w10:anchorlock/>
            </v:shape>
          </w:pict>
        </mc:Fallback>
      </mc:AlternateContent>
    </w:r>
    <w:r w:rsidR="00C92452">
      <w:fldChar w:fldCharType="begin" w:fldLock="1"/>
    </w:r>
    <w:r w:rsidR="00C92452">
      <w:instrText xml:space="preserve"> DOCPROPERTY bjFooterFirstPageDocProperty \* MERGEFORMAT </w:instrText>
    </w:r>
    <w:r w:rsidR="00C92452">
      <w:fldChar w:fldCharType="separate"/>
    </w:r>
  </w:p>
  <w:p w14:paraId="47A35FE1" w14:textId="77777777" w:rsidR="000D02A2" w:rsidRPr="00C92452" w:rsidRDefault="00C92452" w:rsidP="00C92452">
    <w:pPr>
      <w:pStyle w:val="Footer"/>
      <w:jc w:val="center"/>
    </w:pPr>
    <w:r w:rsidRPr="00C92452">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7FF6" w14:textId="77777777" w:rsidR="00086C5C" w:rsidRDefault="00086C5C">
      <w:r>
        <w:separator/>
      </w:r>
    </w:p>
  </w:footnote>
  <w:footnote w:type="continuationSeparator" w:id="0">
    <w:p w14:paraId="13305033" w14:textId="77777777" w:rsidR="00086C5C" w:rsidRDefault="00086C5C">
      <w:r>
        <w:continuationSeparator/>
      </w:r>
    </w:p>
  </w:footnote>
  <w:footnote w:type="continuationNotice" w:id="1">
    <w:p w14:paraId="6542E038" w14:textId="77777777" w:rsidR="00086C5C" w:rsidRDefault="00086C5C"/>
  </w:footnote>
  <w:footnote w:id="2">
    <w:p w14:paraId="0DD8A71C" w14:textId="77777777" w:rsidR="00857B90" w:rsidRPr="00C4253D" w:rsidRDefault="00857B90" w:rsidP="00857B90">
      <w:pPr>
        <w:pStyle w:val="FootnoteText"/>
        <w:rPr>
          <w:lang w:val="en-AU"/>
        </w:rPr>
      </w:pPr>
      <w:r>
        <w:rPr>
          <w:rStyle w:val="FootnoteReference"/>
        </w:rPr>
        <w:footnoteRef/>
      </w:r>
      <w:r>
        <w:t xml:space="preserve"> </w:t>
      </w:r>
      <w:r>
        <w:rPr>
          <w:lang w:val="en-AU"/>
        </w:rPr>
        <w:t>Formerly referred to as the Australia and New Zealand Ministerial Forum on Food Regulation</w:t>
      </w:r>
    </w:p>
  </w:footnote>
  <w:footnote w:id="3">
    <w:p w14:paraId="5CC70C52" w14:textId="77777777" w:rsidR="00857B90" w:rsidRPr="00DA37BB" w:rsidRDefault="00857B90" w:rsidP="00857B90">
      <w:pPr>
        <w:pStyle w:val="FootnoteText"/>
        <w:rPr>
          <w:sz w:val="18"/>
          <w:szCs w:val="18"/>
        </w:rPr>
      </w:pPr>
      <w:r>
        <w:rPr>
          <w:rStyle w:val="FootnoteReference"/>
        </w:rPr>
        <w:footnoteRef/>
      </w:r>
      <w:r>
        <w:t xml:space="preserve"> </w:t>
      </w:r>
      <w:r w:rsidRPr="00DA37BB">
        <w:rPr>
          <w:sz w:val="18"/>
          <w:szCs w:val="18"/>
        </w:rPr>
        <w:t xml:space="preserve">Section 1.5.2—4(5) defines </w:t>
      </w:r>
      <w:r w:rsidRPr="00DA37BB">
        <w:rPr>
          <w:b/>
          <w:i/>
          <w:sz w:val="18"/>
          <w:szCs w:val="18"/>
        </w:rPr>
        <w:t>genetically modified food</w:t>
      </w:r>
      <w:r w:rsidRPr="00DA37BB">
        <w:rPr>
          <w:sz w:val="18"/>
          <w:szCs w:val="18"/>
        </w:rPr>
        <w:t xml:space="preserve"> to mean a ‘*food produced using gene technology that</w:t>
      </w:r>
    </w:p>
    <w:p w14:paraId="5B3095F5" w14:textId="77777777" w:rsidR="00857B90" w:rsidRPr="00DA37BB" w:rsidRDefault="00857B90" w:rsidP="004D0ABD">
      <w:pPr>
        <w:pStyle w:val="FootnoteText"/>
        <w:widowControl w:val="0"/>
        <w:numPr>
          <w:ilvl w:val="0"/>
          <w:numId w:val="5"/>
        </w:numPr>
        <w:spacing w:before="0" w:after="0"/>
        <w:rPr>
          <w:sz w:val="18"/>
          <w:szCs w:val="18"/>
        </w:rPr>
      </w:pPr>
      <w:r w:rsidRPr="00DA37BB">
        <w:rPr>
          <w:sz w:val="18"/>
          <w:szCs w:val="18"/>
        </w:rPr>
        <w:t>contains novel DNA or novel protein; or</w:t>
      </w:r>
    </w:p>
    <w:p w14:paraId="71F5AE9E" w14:textId="77777777" w:rsidR="00857B90" w:rsidRPr="00A81D03" w:rsidRDefault="00857B90" w:rsidP="004D0ABD">
      <w:pPr>
        <w:pStyle w:val="FootnoteText"/>
        <w:widowControl w:val="0"/>
        <w:numPr>
          <w:ilvl w:val="0"/>
          <w:numId w:val="5"/>
        </w:numPr>
        <w:spacing w:before="0" w:after="0"/>
        <w:rPr>
          <w:lang w:val="en-AU"/>
        </w:rPr>
      </w:pPr>
      <w:r w:rsidRPr="00A81D03">
        <w:rPr>
          <w:iCs/>
          <w:sz w:val="18"/>
          <w:szCs w:val="18"/>
        </w:rPr>
        <w:t>is listed in Section S26—3 as subject to the condition that its labelling must comply with this section’ (</w:t>
      </w:r>
      <w:r w:rsidRPr="00A81D03">
        <w:rPr>
          <w:i/>
          <w:iCs/>
          <w:sz w:val="18"/>
          <w:szCs w:val="18"/>
        </w:rPr>
        <w:t>that being section 1.5.2—4</w:t>
      </w:r>
      <w:r w:rsidRPr="00A81D03">
        <w:rPr>
          <w:iCs/>
          <w:sz w:val="18"/>
          <w:szCs w:val="18"/>
        </w:rPr>
        <w:t>).</w:t>
      </w:r>
    </w:p>
  </w:footnote>
  <w:footnote w:id="4">
    <w:p w14:paraId="5AFA709A" w14:textId="77777777" w:rsidR="008A16C0" w:rsidRPr="003B6D24" w:rsidRDefault="008A16C0" w:rsidP="008A16C0">
      <w:pPr>
        <w:pStyle w:val="FootnoteText"/>
        <w:rPr>
          <w:sz w:val="18"/>
          <w:szCs w:val="18"/>
          <w:lang w:val="en-AU"/>
        </w:rPr>
      </w:pPr>
      <w:r w:rsidRPr="003B6D24">
        <w:rPr>
          <w:rStyle w:val="FootnoteReference"/>
          <w:sz w:val="18"/>
          <w:szCs w:val="18"/>
        </w:rPr>
        <w:footnoteRef/>
      </w:r>
      <w:r w:rsidRPr="003B6D24">
        <w:rPr>
          <w:sz w:val="18"/>
          <w:szCs w:val="18"/>
        </w:rPr>
        <w:t xml:space="preserve"> </w:t>
      </w:r>
      <w:r>
        <w:rPr>
          <w:sz w:val="18"/>
          <w:szCs w:val="18"/>
        </w:rPr>
        <w:t>‘</w:t>
      </w:r>
      <w:r w:rsidRPr="003B6D24">
        <w:rPr>
          <w:sz w:val="18"/>
          <w:szCs w:val="18"/>
        </w:rPr>
        <w:t>Food produced using gene technology’ is defined in subsection 1.1.2—2(3) as meaning ‘a food which has been derived or developed from an organism which has been modified by gene technology’.</w:t>
      </w:r>
    </w:p>
  </w:footnote>
  <w:footnote w:id="5">
    <w:p w14:paraId="165DDE3F" w14:textId="77777777" w:rsidR="00857B90" w:rsidRPr="0071488A" w:rsidRDefault="00857B90" w:rsidP="00857B90">
      <w:pPr>
        <w:pStyle w:val="FootnoteText"/>
        <w:rPr>
          <w:lang w:val="en-AU"/>
        </w:rPr>
      </w:pPr>
      <w:r>
        <w:rPr>
          <w:rStyle w:val="FootnoteReference"/>
        </w:rPr>
        <w:footnoteRef/>
      </w:r>
      <w:r>
        <w:t xml:space="preserve"> </w:t>
      </w:r>
      <w:r>
        <w:rPr>
          <w:lang w:val="en-AU"/>
        </w:rPr>
        <w:t>F</w:t>
      </w:r>
      <w:r w:rsidRPr="006A3C5B">
        <w:rPr>
          <w:lang w:val="en-AU"/>
        </w:rPr>
        <w:t>ormerly</w:t>
      </w:r>
      <w:r>
        <w:rPr>
          <w:lang w:val="en-AU"/>
        </w:rPr>
        <w:t xml:space="preserve"> known as the Office of Best Practice Regulation (OBPR).</w:t>
      </w:r>
    </w:p>
  </w:footnote>
  <w:footnote w:id="6">
    <w:p w14:paraId="2A23DC0C" w14:textId="77777777" w:rsidR="00857B90" w:rsidRPr="000E0978" w:rsidRDefault="00857B90" w:rsidP="00857B90">
      <w:pPr>
        <w:pStyle w:val="FootnoteText"/>
        <w:rPr>
          <w:lang w:val="en-AU"/>
        </w:rPr>
      </w:pPr>
      <w:r>
        <w:rPr>
          <w:rStyle w:val="FootnoteReference"/>
        </w:rPr>
        <w:footnoteRef/>
      </w:r>
      <w:r>
        <w:t xml:space="preserve"> </w:t>
      </w:r>
      <w:hyperlink r:id="rId1" w:history="1">
        <w:r>
          <w:rPr>
            <w:rStyle w:val="Hyperlink"/>
          </w:rPr>
          <w:t>Food regulation website</w:t>
        </w:r>
      </w:hyperlink>
    </w:p>
  </w:footnote>
  <w:footnote w:id="7">
    <w:p w14:paraId="3CBD84F0" w14:textId="77777777" w:rsidR="00857B90" w:rsidRPr="00AF1F49" w:rsidRDefault="00857B90" w:rsidP="00857B90">
      <w:pPr>
        <w:pStyle w:val="FootnoteText"/>
        <w:rPr>
          <w:lang w:val="en-AU"/>
        </w:rPr>
      </w:pPr>
      <w:r>
        <w:rPr>
          <w:rStyle w:val="FootnoteReference"/>
        </w:rPr>
        <w:footnoteRef/>
      </w:r>
      <w:r>
        <w:t xml:space="preserve"> </w:t>
      </w:r>
      <w:r>
        <w:rPr>
          <w:lang w:val="en-AU"/>
        </w:rPr>
        <w:t>Formerly known as the Office of Best Practice Regulation (OBPR).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7AB5" w14:textId="446FB45C" w:rsidR="00857B90" w:rsidRPr="00C92452" w:rsidRDefault="00051F95" w:rsidP="00C92452">
    <w:pPr>
      <w:pStyle w:val="Header"/>
      <w:jc w:val="center"/>
      <w:rPr>
        <w:rFonts w:ascii="Calibri" w:hAnsi="Calibri" w:cs="Calibri"/>
        <w:b/>
        <w:color w:val="F00000"/>
        <w:sz w:val="24"/>
      </w:rPr>
    </w:pPr>
    <w:r>
      <w:rPr>
        <w:noProof/>
      </w:rPr>
      <mc:AlternateContent>
        <mc:Choice Requires="wps">
          <w:drawing>
            <wp:anchor distT="0" distB="0" distL="114300" distR="114300" simplePos="0" relativeHeight="251658254" behindDoc="0" locked="1" layoutInCell="0" allowOverlap="1" wp14:anchorId="6AB10CF2" wp14:editId="6689C2EC">
              <wp:simplePos x="0" y="0"/>
              <wp:positionH relativeFrom="margin">
                <wp:align>center</wp:align>
              </wp:positionH>
              <wp:positionV relativeFrom="topMargin">
                <wp:align>center</wp:align>
              </wp:positionV>
              <wp:extent cx="892175" cy="2730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72AE02" w14:textId="3E5E4FC1" w:rsidR="00051F95" w:rsidRPr="00051F95" w:rsidRDefault="00051F95" w:rsidP="00051F95">
                          <w:pPr>
                            <w:spacing w:before="0" w:after="0"/>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PM_ProtectiveMarkingValue_Header \* MERGEFORMAT </w:instrText>
                          </w:r>
                          <w:r w:rsidRPr="00051F95">
                            <w:rPr>
                              <w:b/>
                              <w:color w:val="FF0000"/>
                              <w:sz w:val="24"/>
                            </w:rPr>
                            <w:fldChar w:fldCharType="separate"/>
                          </w:r>
                          <w:r w:rsidR="001F7190">
                            <w:rPr>
                              <w:b/>
                              <w:color w:val="FF0000"/>
                              <w:sz w:val="24"/>
                            </w:rPr>
                            <w:t>UNOFFICIAL</w:t>
                          </w:r>
                          <w:r w:rsidRPr="00051F9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B10CF2" id="_x0000_t202" coordsize="21600,21600" o:spt="202" path="m,l,21600r21600,l21600,xe">
              <v:stroke joinstyle="miter"/>
              <v:path gradientshapeok="t" o:connecttype="rect"/>
            </v:shapetype>
            <v:shape id="Text Box 18" o:spid="_x0000_s1026" type="#_x0000_t202" style="position:absolute;left:0;text-align:left;margin-left:0;margin-top:0;width:70.25pt;height:21.5pt;z-index:25165825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5272AE02" w14:textId="3E5E4FC1" w:rsidR="00051F95" w:rsidRPr="00051F95" w:rsidRDefault="00051F95" w:rsidP="00051F95">
                    <w:pPr>
                      <w:spacing w:before="0" w:after="0"/>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PM_ProtectiveMarkingValue_Header \* MERGEFORMAT </w:instrText>
                    </w:r>
                    <w:r w:rsidRPr="00051F95">
                      <w:rPr>
                        <w:b/>
                        <w:color w:val="FF0000"/>
                        <w:sz w:val="24"/>
                      </w:rPr>
                      <w:fldChar w:fldCharType="separate"/>
                    </w:r>
                    <w:r w:rsidR="001F7190">
                      <w:rPr>
                        <w:b/>
                        <w:color w:val="FF0000"/>
                        <w:sz w:val="24"/>
                      </w:rPr>
                      <w:t>UNOFFICIAL</w:t>
                    </w:r>
                    <w:r w:rsidRPr="00051F95">
                      <w:rPr>
                        <w:b/>
                        <w:color w:val="FF0000"/>
                        <w:sz w:val="24"/>
                      </w:rPr>
                      <w:fldChar w:fldCharType="end"/>
                    </w:r>
                  </w:p>
                </w:txbxContent>
              </v:textbox>
              <w10:wrap anchorx="margin" anchory="margin"/>
              <w10:anchorlock/>
            </v:shape>
          </w:pict>
        </mc:Fallback>
      </mc:AlternateContent>
    </w:r>
    <w:r w:rsidR="004D0ABD">
      <w:rPr>
        <w:noProof/>
      </w:rPr>
      <mc:AlternateContent>
        <mc:Choice Requires="wps">
          <w:drawing>
            <wp:anchor distT="0" distB="0" distL="114300" distR="114300" simplePos="0" relativeHeight="251658241" behindDoc="0" locked="1" layoutInCell="0" allowOverlap="1" wp14:anchorId="42F11586" wp14:editId="40F619AC">
              <wp:simplePos x="0" y="0"/>
              <wp:positionH relativeFrom="margin">
                <wp:align>center</wp:align>
              </wp:positionH>
              <wp:positionV relativeFrom="topMargin">
                <wp:align>center</wp:align>
              </wp:positionV>
              <wp:extent cx="892175"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AF8319" w14:textId="34882AFF" w:rsidR="004D0ABD" w:rsidRPr="004D0ABD" w:rsidRDefault="004D0ABD" w:rsidP="004D0ABD">
                          <w:pPr>
                            <w:spacing w:before="0" w:after="0"/>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PM_ProtectiveMarkingValue_Header \* MERGEFORMAT </w:instrText>
                          </w:r>
                          <w:r w:rsidRPr="004D0ABD">
                            <w:rPr>
                              <w:b/>
                              <w:color w:val="FF0000"/>
                              <w:sz w:val="24"/>
                            </w:rPr>
                            <w:fldChar w:fldCharType="separate"/>
                          </w:r>
                          <w:r w:rsidR="001F7190">
                            <w:rPr>
                              <w:b/>
                              <w:color w:val="FF0000"/>
                              <w:sz w:val="24"/>
                            </w:rPr>
                            <w:t>UNOFFICIAL</w:t>
                          </w:r>
                          <w:r w:rsidRPr="004D0AB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F11586" id="Text Box 6" o:spid="_x0000_s1027" type="#_x0000_t202" style="position:absolute;left:0;text-align:left;margin-left:0;margin-top:0;width:70.25pt;height:21.5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textbox style="mso-fit-shape-to-text:t">
                <w:txbxContent>
                  <w:p w14:paraId="28AF8319" w14:textId="34882AFF" w:rsidR="004D0ABD" w:rsidRPr="004D0ABD" w:rsidRDefault="004D0ABD" w:rsidP="004D0ABD">
                    <w:pPr>
                      <w:spacing w:before="0" w:after="0"/>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PM_ProtectiveMarkingValue_Header \* MERGEFORMAT </w:instrText>
                    </w:r>
                    <w:r w:rsidRPr="004D0ABD">
                      <w:rPr>
                        <w:b/>
                        <w:color w:val="FF0000"/>
                        <w:sz w:val="24"/>
                      </w:rPr>
                      <w:fldChar w:fldCharType="separate"/>
                    </w:r>
                    <w:r w:rsidR="001F7190">
                      <w:rPr>
                        <w:b/>
                        <w:color w:val="FF0000"/>
                        <w:sz w:val="24"/>
                      </w:rPr>
                      <w:t>UNOFFICIAL</w:t>
                    </w:r>
                    <w:r w:rsidRPr="004D0ABD">
                      <w:rPr>
                        <w:b/>
                        <w:color w:val="FF0000"/>
                        <w:sz w:val="24"/>
                      </w:rPr>
                      <w:fldChar w:fldCharType="end"/>
                    </w:r>
                  </w:p>
                </w:txbxContent>
              </v:textbox>
              <w10:wrap anchorx="margin" anchory="margin"/>
              <w10:anchorlock/>
            </v:shape>
          </w:pict>
        </mc:Fallback>
      </mc:AlternateContent>
    </w:r>
    <w:r w:rsidR="00857B90">
      <w:fldChar w:fldCharType="begin" w:fldLock="1"/>
    </w:r>
    <w:r w:rsidR="00857B90">
      <w:instrText xml:space="preserve"> DOCPROPERTY bjHeaderEvenPageDocProperty \* MERGEFORMAT </w:instrText>
    </w:r>
    <w:r w:rsidR="00857B90">
      <w:fldChar w:fldCharType="separate"/>
    </w:r>
    <w:r w:rsidR="00857B90" w:rsidRPr="00C92452">
      <w:rPr>
        <w:rFonts w:ascii="Calibri" w:hAnsi="Calibri" w:cs="Calibri"/>
        <w:b/>
        <w:color w:val="F00000"/>
        <w:sz w:val="24"/>
      </w:rPr>
      <w:t>OFFICIAL</w:t>
    </w:r>
  </w:p>
  <w:p w14:paraId="0F964707" w14:textId="77777777" w:rsidR="00857B90" w:rsidRPr="00C92452" w:rsidRDefault="00857B90" w:rsidP="00C92452">
    <w:pPr>
      <w:pStyle w:val="Header"/>
      <w:jc w:val="center"/>
    </w:pPr>
    <w:r w:rsidRPr="00C92452">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5934" w14:textId="112BEA42" w:rsidR="00857B90" w:rsidRPr="00C92452" w:rsidRDefault="00857B90" w:rsidP="00C9245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B65B" w14:textId="684D877A" w:rsidR="00857B90" w:rsidRPr="00C92452" w:rsidRDefault="00051F95" w:rsidP="00C92452">
    <w:pPr>
      <w:pStyle w:val="Header"/>
      <w:jc w:val="center"/>
      <w:rPr>
        <w:rFonts w:ascii="Calibri" w:hAnsi="Calibri" w:cs="Calibri"/>
        <w:b/>
        <w:bCs/>
        <w:color w:val="F00000"/>
        <w:sz w:val="24"/>
      </w:rPr>
    </w:pPr>
    <w:r>
      <w:rPr>
        <w:b/>
        <w:bCs/>
        <w:noProof/>
      </w:rPr>
      <mc:AlternateContent>
        <mc:Choice Requires="wps">
          <w:drawing>
            <wp:anchor distT="0" distB="0" distL="114300" distR="114300" simplePos="0" relativeHeight="251658253" behindDoc="0" locked="1" layoutInCell="0" allowOverlap="1" wp14:anchorId="1E78D8F0" wp14:editId="18D0C242">
              <wp:simplePos x="0" y="0"/>
              <wp:positionH relativeFrom="margin">
                <wp:align>center</wp:align>
              </wp:positionH>
              <wp:positionV relativeFrom="topMargin">
                <wp:align>center</wp:align>
              </wp:positionV>
              <wp:extent cx="892175" cy="2730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54B279" w14:textId="7B723AA3" w:rsidR="00051F95" w:rsidRPr="00051F95" w:rsidRDefault="00051F95" w:rsidP="00051F95">
                          <w:pPr>
                            <w:spacing w:before="0" w:after="0"/>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PM_ProtectiveMarkingValue_Header \* MERGEFORMAT </w:instrText>
                          </w:r>
                          <w:r w:rsidRPr="00051F95">
                            <w:rPr>
                              <w:b/>
                              <w:color w:val="FF0000"/>
                              <w:sz w:val="24"/>
                            </w:rPr>
                            <w:fldChar w:fldCharType="separate"/>
                          </w:r>
                          <w:r w:rsidR="001F7190">
                            <w:rPr>
                              <w:b/>
                              <w:color w:val="FF0000"/>
                              <w:sz w:val="24"/>
                            </w:rPr>
                            <w:t>UNOFFICIAL</w:t>
                          </w:r>
                          <w:r w:rsidRPr="00051F9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E78D8F0" id="_x0000_t202" coordsize="21600,21600" o:spt="202" path="m,l,21600r21600,l21600,xe">
              <v:stroke joinstyle="miter"/>
              <v:path gradientshapeok="t" o:connecttype="rect"/>
            </v:shapetype>
            <v:shape id="Text Box 17" o:spid="_x0000_s1031" type="#_x0000_t202" style="position:absolute;left:0;text-align:left;margin-left:0;margin-top:0;width:70.25pt;height:21.5pt;z-index:25165825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4854B279" w14:textId="7B723AA3" w:rsidR="00051F95" w:rsidRPr="00051F95" w:rsidRDefault="00051F95" w:rsidP="00051F95">
                    <w:pPr>
                      <w:spacing w:before="0" w:after="0"/>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PM_ProtectiveMarkingValue_Header \* MERGEFORMAT </w:instrText>
                    </w:r>
                    <w:r w:rsidRPr="00051F95">
                      <w:rPr>
                        <w:b/>
                        <w:color w:val="FF0000"/>
                        <w:sz w:val="24"/>
                      </w:rPr>
                      <w:fldChar w:fldCharType="separate"/>
                    </w:r>
                    <w:r w:rsidR="001F7190">
                      <w:rPr>
                        <w:b/>
                        <w:color w:val="FF0000"/>
                        <w:sz w:val="24"/>
                      </w:rPr>
                      <w:t>UNOFFICIAL</w:t>
                    </w:r>
                    <w:r w:rsidRPr="00051F95">
                      <w:rPr>
                        <w:b/>
                        <w:color w:val="FF0000"/>
                        <w:sz w:val="24"/>
                      </w:rPr>
                      <w:fldChar w:fldCharType="end"/>
                    </w:r>
                  </w:p>
                </w:txbxContent>
              </v:textbox>
              <w10:wrap anchorx="margin" anchory="margin"/>
              <w10:anchorlock/>
            </v:shape>
          </w:pict>
        </mc:Fallback>
      </mc:AlternateContent>
    </w:r>
    <w:r w:rsidR="004D0ABD">
      <w:rPr>
        <w:b/>
        <w:bCs/>
        <w:noProof/>
      </w:rPr>
      <mc:AlternateContent>
        <mc:Choice Requires="wps">
          <w:drawing>
            <wp:anchor distT="0" distB="0" distL="114300" distR="114300" simplePos="0" relativeHeight="251658240" behindDoc="0" locked="1" layoutInCell="0" allowOverlap="1" wp14:anchorId="5AD9B2F3" wp14:editId="34C1E46E">
              <wp:simplePos x="0" y="0"/>
              <wp:positionH relativeFrom="margin">
                <wp:align>center</wp:align>
              </wp:positionH>
              <wp:positionV relativeFrom="topMargin">
                <wp:align>center</wp:align>
              </wp:positionV>
              <wp:extent cx="892175"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33D85" w14:textId="0A06A46B" w:rsidR="004D0ABD" w:rsidRPr="004D0ABD" w:rsidRDefault="004D0ABD" w:rsidP="004D0ABD">
                          <w:pPr>
                            <w:spacing w:before="0" w:after="0"/>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PM_ProtectiveMarkingValue_Header \* MERGEFORMAT </w:instrText>
                          </w:r>
                          <w:r w:rsidRPr="004D0ABD">
                            <w:rPr>
                              <w:b/>
                              <w:color w:val="FF0000"/>
                              <w:sz w:val="24"/>
                            </w:rPr>
                            <w:fldChar w:fldCharType="separate"/>
                          </w:r>
                          <w:r w:rsidR="001F7190">
                            <w:rPr>
                              <w:b/>
                              <w:color w:val="FF0000"/>
                              <w:sz w:val="24"/>
                            </w:rPr>
                            <w:t>UNOFFICIAL</w:t>
                          </w:r>
                          <w:r w:rsidRPr="004D0AB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D9B2F3" id="Text Box 5" o:spid="_x0000_s1032" type="#_x0000_t202" style="position:absolute;left:0;text-align:left;margin-left:0;margin-top:0;width:70.25pt;height:21.5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p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D05jrCnfYzpLB+KdkYsKPSyF&#10;86/CgmkMBPX6FyxFTahFR4uzkuzPv92HeBAAL2ctlJNxDWlzVn/XIOZ+MBoFocXDaDwZ4mCvPetr&#10;j942jwRpDvBLjIxmiPf1ySwsNe+Q+DzUhEtoicoZ9yfz0R/UjC8i1XwegyAtI/xSr4wMqQNyAd+3&#10;7l1YcyTBg71nOilMpB+4OMSGl87Mtx6MRKICygdMj+BDlpG/4xcKur8+x6jLR5/9Ag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5EOl8YAgAAMAQAAA4AAAAAAAAAAAAAAAAALgIAAGRycy9lMm9Eb2MueG1sUEsBAi0AFAAGAAgA&#10;AAAhAGk6TznbAAAABAEAAA8AAAAAAAAAAAAAAAAAcgQAAGRycy9kb3ducmV2LnhtbFBLBQYAAAAA&#10;BAAEAPMAAAB6BQAAAAA=&#10;" o:allowincell="f" filled="f" stroked="f" strokeweight=".5pt">
              <v:textbox style="mso-fit-shape-to-text:t">
                <w:txbxContent>
                  <w:p w14:paraId="16333D85" w14:textId="0A06A46B" w:rsidR="004D0ABD" w:rsidRPr="004D0ABD" w:rsidRDefault="004D0ABD" w:rsidP="004D0ABD">
                    <w:pPr>
                      <w:spacing w:before="0" w:after="0"/>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PM_ProtectiveMarkingValue_Header \* MERGEFORMAT </w:instrText>
                    </w:r>
                    <w:r w:rsidRPr="004D0ABD">
                      <w:rPr>
                        <w:b/>
                        <w:color w:val="FF0000"/>
                        <w:sz w:val="24"/>
                      </w:rPr>
                      <w:fldChar w:fldCharType="separate"/>
                    </w:r>
                    <w:r w:rsidR="001F7190">
                      <w:rPr>
                        <w:b/>
                        <w:color w:val="FF0000"/>
                        <w:sz w:val="24"/>
                      </w:rPr>
                      <w:t>UNOFFICIAL</w:t>
                    </w:r>
                    <w:r w:rsidRPr="004D0ABD">
                      <w:rPr>
                        <w:b/>
                        <w:color w:val="FF0000"/>
                        <w:sz w:val="24"/>
                      </w:rPr>
                      <w:fldChar w:fldCharType="end"/>
                    </w:r>
                  </w:p>
                </w:txbxContent>
              </v:textbox>
              <w10:wrap anchorx="margin" anchory="margin"/>
              <w10:anchorlock/>
            </v:shape>
          </w:pict>
        </mc:Fallback>
      </mc:AlternateContent>
    </w:r>
    <w:r w:rsidR="00857B90">
      <w:rPr>
        <w:b/>
        <w:bCs/>
      </w:rPr>
      <w:fldChar w:fldCharType="begin" w:fldLock="1"/>
    </w:r>
    <w:r w:rsidR="00857B90">
      <w:rPr>
        <w:b/>
        <w:bCs/>
      </w:rPr>
      <w:instrText xml:space="preserve"> DOCPROPERTY bjHeaderFirstPageDocProperty \* MERGEFORMAT </w:instrText>
    </w:r>
    <w:r w:rsidR="00857B90">
      <w:rPr>
        <w:b/>
        <w:bCs/>
      </w:rPr>
      <w:fldChar w:fldCharType="separate"/>
    </w:r>
    <w:r w:rsidR="00857B90" w:rsidRPr="00C92452">
      <w:rPr>
        <w:rFonts w:ascii="Calibri" w:hAnsi="Calibri" w:cs="Calibri"/>
        <w:b/>
        <w:bCs/>
        <w:color w:val="F00000"/>
        <w:sz w:val="24"/>
      </w:rPr>
      <w:t>OFFICIAL</w:t>
    </w:r>
  </w:p>
  <w:p w14:paraId="22398492" w14:textId="77777777" w:rsidR="00857B90" w:rsidRDefault="00857B90" w:rsidP="00C92452">
    <w:pPr>
      <w:pStyle w:val="Header"/>
      <w:jc w:val="center"/>
      <w:rPr>
        <w:b/>
        <w:bCs/>
      </w:rPr>
    </w:pPr>
    <w:r w:rsidRPr="00C92452">
      <w:rPr>
        <w:rFonts w:ascii="Calibri" w:hAnsi="Calibri" w:cs="Calibri"/>
        <w:b/>
        <w:bCs/>
        <w:color w:val="F00000"/>
        <w:sz w:val="24"/>
      </w:rPr>
      <w:t xml:space="preserve"> </w:t>
    </w:r>
    <w:r>
      <w:rPr>
        <w:b/>
        <w:bCs/>
      </w:rPr>
      <w:fldChar w:fldCharType="end"/>
    </w:r>
  </w:p>
  <w:p w14:paraId="139FA1C5" w14:textId="77777777" w:rsidR="00857B90" w:rsidRDefault="00857B90">
    <w:pPr>
      <w:pStyle w:val="Header"/>
      <w:jc w:val="center"/>
      <w:rPr>
        <w:b/>
        <w:bCs/>
      </w:rPr>
    </w:pPr>
    <w:r>
      <w:rPr>
        <w:b/>
        <w:bCs/>
      </w:rPr>
      <w:t>BOARD-IN-CONFIDENCE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4B5A" w14:textId="22160A24" w:rsidR="00C92452" w:rsidRPr="00C92452" w:rsidRDefault="00051F95" w:rsidP="00C92452">
    <w:pPr>
      <w:pStyle w:val="Header"/>
      <w:jc w:val="center"/>
      <w:rPr>
        <w:rFonts w:ascii="Calibri" w:hAnsi="Calibri" w:cs="Calibri"/>
        <w:b/>
        <w:color w:val="F00000"/>
        <w:sz w:val="24"/>
      </w:rPr>
    </w:pPr>
    <w:r>
      <w:rPr>
        <w:noProof/>
      </w:rPr>
      <mc:AlternateContent>
        <mc:Choice Requires="wps">
          <w:drawing>
            <wp:anchor distT="0" distB="0" distL="114300" distR="114300" simplePos="0" relativeHeight="251658260" behindDoc="0" locked="1" layoutInCell="0" allowOverlap="1" wp14:anchorId="1606D4FC" wp14:editId="106FEAC1">
              <wp:simplePos x="0" y="0"/>
              <wp:positionH relativeFrom="margin">
                <wp:align>center</wp:align>
              </wp:positionH>
              <wp:positionV relativeFrom="topMargin">
                <wp:align>center</wp:align>
              </wp:positionV>
              <wp:extent cx="892175" cy="2730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E7FFFD" w14:textId="50E65B19" w:rsidR="00051F95" w:rsidRPr="00051F95" w:rsidRDefault="00051F95" w:rsidP="00051F95">
                          <w:pPr>
                            <w:spacing w:before="0" w:after="0"/>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PM_ProtectiveMarkingValue_Header \* MERGEFORMAT </w:instrText>
                          </w:r>
                          <w:r w:rsidRPr="00051F95">
                            <w:rPr>
                              <w:b/>
                              <w:color w:val="FF0000"/>
                              <w:sz w:val="24"/>
                            </w:rPr>
                            <w:fldChar w:fldCharType="separate"/>
                          </w:r>
                          <w:r w:rsidR="001F7190">
                            <w:rPr>
                              <w:b/>
                              <w:color w:val="FF0000"/>
                              <w:sz w:val="24"/>
                            </w:rPr>
                            <w:t>UNOFFICIAL</w:t>
                          </w:r>
                          <w:r w:rsidRPr="00051F9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606D4FC" id="_x0000_t202" coordsize="21600,21600" o:spt="202" path="m,l,21600r21600,l21600,xe">
              <v:stroke joinstyle="miter"/>
              <v:path gradientshapeok="t" o:connecttype="rect"/>
            </v:shapetype>
            <v:shape id="Text Box 24" o:spid="_x0000_s1036" type="#_x0000_t202" style="position:absolute;left:0;text-align:left;margin-left:0;margin-top:0;width:70.25pt;height:21.5pt;z-index:2516582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au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8Q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wdJq4YAgAAMQQAAA4AAAAAAAAAAAAAAAAALgIAAGRycy9lMm9Eb2MueG1sUEsBAi0AFAAGAAgA&#10;AAAhAGk6TznbAAAABAEAAA8AAAAAAAAAAAAAAAAAcgQAAGRycy9kb3ducmV2LnhtbFBLBQYAAAAA&#10;BAAEAPMAAAB6BQAAAAA=&#10;" o:allowincell="f" filled="f" stroked="f" strokeweight=".5pt">
              <v:textbox style="mso-fit-shape-to-text:t">
                <w:txbxContent>
                  <w:p w14:paraId="51E7FFFD" w14:textId="50E65B19" w:rsidR="00051F95" w:rsidRPr="00051F95" w:rsidRDefault="00051F95" w:rsidP="00051F95">
                    <w:pPr>
                      <w:spacing w:before="0" w:after="0"/>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PM_ProtectiveMarkingValue_Header \* MERGEFORMAT </w:instrText>
                    </w:r>
                    <w:r w:rsidRPr="00051F95">
                      <w:rPr>
                        <w:b/>
                        <w:color w:val="FF0000"/>
                        <w:sz w:val="24"/>
                      </w:rPr>
                      <w:fldChar w:fldCharType="separate"/>
                    </w:r>
                    <w:r w:rsidR="001F7190">
                      <w:rPr>
                        <w:b/>
                        <w:color w:val="FF0000"/>
                        <w:sz w:val="24"/>
                      </w:rPr>
                      <w:t>UNOFFICIAL</w:t>
                    </w:r>
                    <w:r w:rsidRPr="00051F95">
                      <w:rPr>
                        <w:b/>
                        <w:color w:val="FF0000"/>
                        <w:sz w:val="24"/>
                      </w:rPr>
                      <w:fldChar w:fldCharType="end"/>
                    </w:r>
                  </w:p>
                </w:txbxContent>
              </v:textbox>
              <w10:wrap anchorx="margin" anchory="margin"/>
              <w10:anchorlock/>
            </v:shape>
          </w:pict>
        </mc:Fallback>
      </mc:AlternateContent>
    </w:r>
    <w:r w:rsidR="004D0ABD">
      <w:rPr>
        <w:noProof/>
      </w:rPr>
      <mc:AlternateContent>
        <mc:Choice Requires="wps">
          <w:drawing>
            <wp:anchor distT="0" distB="0" distL="114300" distR="114300" simplePos="0" relativeHeight="251658246" behindDoc="0" locked="1" layoutInCell="0" allowOverlap="1" wp14:anchorId="190F95DB" wp14:editId="2A0C3995">
              <wp:simplePos x="0" y="0"/>
              <wp:positionH relativeFrom="margin">
                <wp:align>center</wp:align>
              </wp:positionH>
              <wp:positionV relativeFrom="topMargin">
                <wp:align>center</wp:align>
              </wp:positionV>
              <wp:extent cx="892175" cy="273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91B67A" w14:textId="603E8CA4" w:rsidR="004D0ABD" w:rsidRPr="004D0ABD" w:rsidRDefault="004D0ABD" w:rsidP="004D0ABD">
                          <w:pPr>
                            <w:spacing w:before="0" w:after="0"/>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PM_ProtectiveMarkingValue_Header \* MERGEFORMAT </w:instrText>
                          </w:r>
                          <w:r w:rsidRPr="004D0ABD">
                            <w:rPr>
                              <w:b/>
                              <w:color w:val="FF0000"/>
                              <w:sz w:val="24"/>
                            </w:rPr>
                            <w:fldChar w:fldCharType="separate"/>
                          </w:r>
                          <w:r w:rsidR="001F7190">
                            <w:rPr>
                              <w:b/>
                              <w:color w:val="FF0000"/>
                              <w:sz w:val="24"/>
                            </w:rPr>
                            <w:t>UNOFFICIAL</w:t>
                          </w:r>
                          <w:r w:rsidRPr="004D0AB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0F95DB" id="Text Box 12" o:spid="_x0000_s1037" type="#_x0000_t202" style="position:absolute;left:0;text-align:left;margin-left:0;margin-top:0;width:70.25pt;height:21.5pt;z-index:25165824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Ey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5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GC4wTIYAgAAMQQAAA4AAAAAAAAAAAAAAAAALgIAAGRycy9lMm9Eb2MueG1sUEsBAi0AFAAGAAgA&#10;AAAhAGk6TznbAAAABAEAAA8AAAAAAAAAAAAAAAAAcgQAAGRycy9kb3ducmV2LnhtbFBLBQYAAAAA&#10;BAAEAPMAAAB6BQAAAAA=&#10;" o:allowincell="f" filled="f" stroked="f" strokeweight=".5pt">
              <v:textbox style="mso-fit-shape-to-text:t">
                <w:txbxContent>
                  <w:p w14:paraId="4A91B67A" w14:textId="603E8CA4" w:rsidR="004D0ABD" w:rsidRPr="004D0ABD" w:rsidRDefault="004D0ABD" w:rsidP="004D0ABD">
                    <w:pPr>
                      <w:spacing w:before="0" w:after="0"/>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PM_ProtectiveMarkingValue_Header \* MERGEFORMAT </w:instrText>
                    </w:r>
                    <w:r w:rsidRPr="004D0ABD">
                      <w:rPr>
                        <w:b/>
                        <w:color w:val="FF0000"/>
                        <w:sz w:val="24"/>
                      </w:rPr>
                      <w:fldChar w:fldCharType="separate"/>
                    </w:r>
                    <w:r w:rsidR="001F7190">
                      <w:rPr>
                        <w:b/>
                        <w:color w:val="FF0000"/>
                        <w:sz w:val="24"/>
                      </w:rPr>
                      <w:t>UNOFFICIAL</w:t>
                    </w:r>
                    <w:r w:rsidRPr="004D0ABD">
                      <w:rPr>
                        <w:b/>
                        <w:color w:val="FF0000"/>
                        <w:sz w:val="24"/>
                      </w:rPr>
                      <w:fldChar w:fldCharType="end"/>
                    </w:r>
                  </w:p>
                </w:txbxContent>
              </v:textbox>
              <w10:wrap anchorx="margin" anchory="margin"/>
              <w10:anchorlock/>
            </v:shape>
          </w:pict>
        </mc:Fallback>
      </mc:AlternateContent>
    </w:r>
    <w:r w:rsidR="00C92452">
      <w:fldChar w:fldCharType="begin" w:fldLock="1"/>
    </w:r>
    <w:r w:rsidR="00C92452">
      <w:instrText xml:space="preserve"> DOCPROPERTY bjHeaderEvenPageDocProperty \* MERGEFORMAT </w:instrText>
    </w:r>
    <w:r w:rsidR="00C92452">
      <w:fldChar w:fldCharType="separate"/>
    </w:r>
    <w:r w:rsidR="00C92452" w:rsidRPr="00C92452">
      <w:rPr>
        <w:rFonts w:ascii="Calibri" w:hAnsi="Calibri" w:cs="Calibri"/>
        <w:b/>
        <w:color w:val="F00000"/>
        <w:sz w:val="24"/>
      </w:rPr>
      <w:t>OFFICIAL</w:t>
    </w:r>
  </w:p>
  <w:p w14:paraId="1FC89DB4" w14:textId="77777777" w:rsidR="000D02A2" w:rsidRPr="00C92452" w:rsidRDefault="00C92452" w:rsidP="00C92452">
    <w:pPr>
      <w:pStyle w:val="Header"/>
      <w:jc w:val="center"/>
    </w:pPr>
    <w:r w:rsidRPr="00C92452">
      <w:rPr>
        <w:rFonts w:ascii="Calibri" w:hAnsi="Calibri" w:cs="Calibri"/>
        <w:b/>
        <w:color w:val="F00000"/>
        <w:sz w:val="24"/>
      </w:rPr>
      <w:t xml:space="preserve"> </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5587" w14:textId="087FD04F" w:rsidR="00B92501" w:rsidRPr="00C92452" w:rsidRDefault="00B92501" w:rsidP="008200C8">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95A6" w14:textId="296F81E5" w:rsidR="00C92452" w:rsidRPr="00C92452" w:rsidRDefault="00051F95" w:rsidP="00C92452">
    <w:pPr>
      <w:pStyle w:val="Header"/>
      <w:jc w:val="center"/>
      <w:rPr>
        <w:rFonts w:ascii="Calibri" w:hAnsi="Calibri" w:cs="Calibri"/>
        <w:b/>
        <w:bCs/>
        <w:color w:val="F00000"/>
        <w:sz w:val="24"/>
      </w:rPr>
    </w:pPr>
    <w:r>
      <w:rPr>
        <w:b/>
        <w:bCs/>
        <w:noProof/>
      </w:rPr>
      <mc:AlternateContent>
        <mc:Choice Requires="wps">
          <w:drawing>
            <wp:anchor distT="0" distB="0" distL="114300" distR="114300" simplePos="0" relativeHeight="251658259" behindDoc="0" locked="1" layoutInCell="0" allowOverlap="1" wp14:anchorId="195559E5" wp14:editId="5807412B">
              <wp:simplePos x="0" y="0"/>
              <wp:positionH relativeFrom="margin">
                <wp:align>center</wp:align>
              </wp:positionH>
              <wp:positionV relativeFrom="topMargin">
                <wp:align>center</wp:align>
              </wp:positionV>
              <wp:extent cx="892175" cy="2730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0DF0DA" w14:textId="2DF5D407" w:rsidR="00051F95" w:rsidRPr="00051F95" w:rsidRDefault="00051F95" w:rsidP="00051F95">
                          <w:pPr>
                            <w:spacing w:before="0" w:after="0"/>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PM_ProtectiveMarkingValue_Header \* MERGEFORMAT </w:instrText>
                          </w:r>
                          <w:r w:rsidRPr="00051F95">
                            <w:rPr>
                              <w:b/>
                              <w:color w:val="FF0000"/>
                              <w:sz w:val="24"/>
                            </w:rPr>
                            <w:fldChar w:fldCharType="separate"/>
                          </w:r>
                          <w:r w:rsidR="001F7190">
                            <w:rPr>
                              <w:b/>
                              <w:color w:val="FF0000"/>
                              <w:sz w:val="24"/>
                            </w:rPr>
                            <w:t>UNOFFICIAL</w:t>
                          </w:r>
                          <w:r w:rsidRPr="00051F9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5559E5" id="_x0000_t202" coordsize="21600,21600" o:spt="202" path="m,l,21600r21600,l21600,xe">
              <v:stroke joinstyle="miter"/>
              <v:path gradientshapeok="t" o:connecttype="rect"/>
            </v:shapetype>
            <v:shape id="Text Box 23" o:spid="_x0000_s1041" type="#_x0000_t202" style="position:absolute;left:0;text-align:left;margin-left:0;margin-top:0;width:70.25pt;height:21.5pt;z-index:25165825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ws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P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TJswsGQIAADEEAAAOAAAAAAAAAAAAAAAAAC4CAABkcnMvZTJvRG9jLnhtbFBLAQItABQABgAI&#10;AAAAIQBpOk852wAAAAQBAAAPAAAAAAAAAAAAAAAAAHMEAABkcnMvZG93bnJldi54bWxQSwUGAAAA&#10;AAQABADzAAAAewUAAAAA&#10;" o:allowincell="f" filled="f" stroked="f" strokeweight=".5pt">
              <v:textbox style="mso-fit-shape-to-text:t">
                <w:txbxContent>
                  <w:p w14:paraId="6B0DF0DA" w14:textId="2DF5D407" w:rsidR="00051F95" w:rsidRPr="00051F95" w:rsidRDefault="00051F95" w:rsidP="00051F95">
                    <w:pPr>
                      <w:spacing w:before="0" w:after="0"/>
                      <w:jc w:val="center"/>
                      <w:rPr>
                        <w:b/>
                        <w:color w:val="FF0000"/>
                        <w:sz w:val="24"/>
                      </w:rPr>
                    </w:pPr>
                    <w:r w:rsidRPr="00051F95">
                      <w:rPr>
                        <w:b/>
                        <w:color w:val="FF0000"/>
                        <w:sz w:val="24"/>
                      </w:rPr>
                      <w:fldChar w:fldCharType="begin"/>
                    </w:r>
                    <w:r w:rsidRPr="00051F95">
                      <w:rPr>
                        <w:b/>
                        <w:color w:val="FF0000"/>
                        <w:sz w:val="24"/>
                      </w:rPr>
                      <w:instrText xml:space="preserve"> DOCPROPERTY PM_ProtectiveMarkingValue_Header \* MERGEFORMAT </w:instrText>
                    </w:r>
                    <w:r w:rsidRPr="00051F95">
                      <w:rPr>
                        <w:b/>
                        <w:color w:val="FF0000"/>
                        <w:sz w:val="24"/>
                      </w:rPr>
                      <w:fldChar w:fldCharType="separate"/>
                    </w:r>
                    <w:r w:rsidR="001F7190">
                      <w:rPr>
                        <w:b/>
                        <w:color w:val="FF0000"/>
                        <w:sz w:val="24"/>
                      </w:rPr>
                      <w:t>UNOFFICIAL</w:t>
                    </w:r>
                    <w:r w:rsidRPr="00051F95">
                      <w:rPr>
                        <w:b/>
                        <w:color w:val="FF0000"/>
                        <w:sz w:val="24"/>
                      </w:rPr>
                      <w:fldChar w:fldCharType="end"/>
                    </w:r>
                  </w:p>
                </w:txbxContent>
              </v:textbox>
              <w10:wrap anchorx="margin" anchory="margin"/>
              <w10:anchorlock/>
            </v:shape>
          </w:pict>
        </mc:Fallback>
      </mc:AlternateContent>
    </w:r>
    <w:r w:rsidR="004D0ABD">
      <w:rPr>
        <w:b/>
        <w:bCs/>
        <w:noProof/>
      </w:rPr>
      <mc:AlternateContent>
        <mc:Choice Requires="wps">
          <w:drawing>
            <wp:anchor distT="0" distB="0" distL="114300" distR="114300" simplePos="0" relativeHeight="251658245" behindDoc="0" locked="1" layoutInCell="0" allowOverlap="1" wp14:anchorId="550184B8" wp14:editId="5B94B192">
              <wp:simplePos x="0" y="0"/>
              <wp:positionH relativeFrom="margin">
                <wp:align>center</wp:align>
              </wp:positionH>
              <wp:positionV relativeFrom="topMargin">
                <wp:align>center</wp:align>
              </wp:positionV>
              <wp:extent cx="892175" cy="273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C89D9F" w14:textId="3E8BA682" w:rsidR="004D0ABD" w:rsidRPr="004D0ABD" w:rsidRDefault="004D0ABD" w:rsidP="004D0ABD">
                          <w:pPr>
                            <w:spacing w:before="0" w:after="0"/>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PM_ProtectiveMarkingValue_Header \* MERGEFORMAT </w:instrText>
                          </w:r>
                          <w:r w:rsidRPr="004D0ABD">
                            <w:rPr>
                              <w:b/>
                              <w:color w:val="FF0000"/>
                              <w:sz w:val="24"/>
                            </w:rPr>
                            <w:fldChar w:fldCharType="separate"/>
                          </w:r>
                          <w:r w:rsidR="001F7190">
                            <w:rPr>
                              <w:b/>
                              <w:color w:val="FF0000"/>
                              <w:sz w:val="24"/>
                            </w:rPr>
                            <w:t>UNOFFICIAL</w:t>
                          </w:r>
                          <w:r w:rsidRPr="004D0AB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0184B8" id="Text Box 11" o:spid="_x0000_s1042" type="#_x0000_t202" style="position:absolute;left:0;text-align:left;margin-left:0;margin-top:0;width:70.25pt;height:21.5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Wz5VSGQIAADEEAAAOAAAAAAAAAAAAAAAAAC4CAABkcnMvZTJvRG9jLnhtbFBLAQItABQABgAI&#10;AAAAIQBpOk852wAAAAQBAAAPAAAAAAAAAAAAAAAAAHMEAABkcnMvZG93bnJldi54bWxQSwUGAAAA&#10;AAQABADzAAAAewUAAAAA&#10;" o:allowincell="f" filled="f" stroked="f" strokeweight=".5pt">
              <v:textbox style="mso-fit-shape-to-text:t">
                <w:txbxContent>
                  <w:p w14:paraId="4DC89D9F" w14:textId="3E8BA682" w:rsidR="004D0ABD" w:rsidRPr="004D0ABD" w:rsidRDefault="004D0ABD" w:rsidP="004D0ABD">
                    <w:pPr>
                      <w:spacing w:before="0" w:after="0"/>
                      <w:jc w:val="center"/>
                      <w:rPr>
                        <w:b/>
                        <w:color w:val="FF0000"/>
                        <w:sz w:val="24"/>
                      </w:rPr>
                    </w:pPr>
                    <w:r w:rsidRPr="004D0ABD">
                      <w:rPr>
                        <w:b/>
                        <w:color w:val="FF0000"/>
                        <w:sz w:val="24"/>
                      </w:rPr>
                      <w:fldChar w:fldCharType="begin"/>
                    </w:r>
                    <w:r w:rsidRPr="004D0ABD">
                      <w:rPr>
                        <w:b/>
                        <w:color w:val="FF0000"/>
                        <w:sz w:val="24"/>
                      </w:rPr>
                      <w:instrText xml:space="preserve"> DOCPROPERTY PM_ProtectiveMarkingValue_Header \* MERGEFORMAT </w:instrText>
                    </w:r>
                    <w:r w:rsidRPr="004D0ABD">
                      <w:rPr>
                        <w:b/>
                        <w:color w:val="FF0000"/>
                        <w:sz w:val="24"/>
                      </w:rPr>
                      <w:fldChar w:fldCharType="separate"/>
                    </w:r>
                    <w:r w:rsidR="001F7190">
                      <w:rPr>
                        <w:b/>
                        <w:color w:val="FF0000"/>
                        <w:sz w:val="24"/>
                      </w:rPr>
                      <w:t>UNOFFICIAL</w:t>
                    </w:r>
                    <w:r w:rsidRPr="004D0ABD">
                      <w:rPr>
                        <w:b/>
                        <w:color w:val="FF0000"/>
                        <w:sz w:val="24"/>
                      </w:rPr>
                      <w:fldChar w:fldCharType="end"/>
                    </w:r>
                  </w:p>
                </w:txbxContent>
              </v:textbox>
              <w10:wrap anchorx="margin" anchory="margin"/>
              <w10:anchorlock/>
            </v:shape>
          </w:pict>
        </mc:Fallback>
      </mc:AlternateContent>
    </w:r>
    <w:r w:rsidR="00C92452">
      <w:rPr>
        <w:b/>
        <w:bCs/>
      </w:rPr>
      <w:fldChar w:fldCharType="begin" w:fldLock="1"/>
    </w:r>
    <w:r w:rsidR="00C92452">
      <w:rPr>
        <w:b/>
        <w:bCs/>
      </w:rPr>
      <w:instrText xml:space="preserve"> DOCPROPERTY bjHeaderFirstPageDocProperty \* MERGEFORMAT </w:instrText>
    </w:r>
    <w:r w:rsidR="00C92452">
      <w:rPr>
        <w:b/>
        <w:bCs/>
      </w:rPr>
      <w:fldChar w:fldCharType="separate"/>
    </w:r>
    <w:r w:rsidR="00C92452" w:rsidRPr="00C92452">
      <w:rPr>
        <w:rFonts w:ascii="Calibri" w:hAnsi="Calibri" w:cs="Calibri"/>
        <w:b/>
        <w:bCs/>
        <w:color w:val="F00000"/>
        <w:sz w:val="24"/>
      </w:rPr>
      <w:t>OFFICIAL</w:t>
    </w:r>
  </w:p>
  <w:p w14:paraId="0865ED94" w14:textId="77777777" w:rsidR="00C92452" w:rsidRDefault="00C92452" w:rsidP="00C92452">
    <w:pPr>
      <w:pStyle w:val="Header"/>
      <w:jc w:val="center"/>
      <w:rPr>
        <w:b/>
        <w:bCs/>
      </w:rPr>
    </w:pPr>
    <w:r w:rsidRPr="00C92452">
      <w:rPr>
        <w:rFonts w:ascii="Calibri" w:hAnsi="Calibri" w:cs="Calibri"/>
        <w:b/>
        <w:bCs/>
        <w:color w:val="F00000"/>
        <w:sz w:val="24"/>
      </w:rPr>
      <w:t xml:space="preserve"> </w:t>
    </w:r>
    <w:r>
      <w:rPr>
        <w:b/>
        <w:bCs/>
      </w:rPr>
      <w:fldChar w:fldCharType="end"/>
    </w:r>
  </w:p>
  <w:p w14:paraId="49580C60" w14:textId="77777777" w:rsidR="00B92501" w:rsidRDefault="00B9250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1230BEA"/>
    <w:multiLevelType w:val="hybridMultilevel"/>
    <w:tmpl w:val="5EF8BA1E"/>
    <w:lvl w:ilvl="0" w:tplc="A93264C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7AE3BFD"/>
    <w:multiLevelType w:val="hybridMultilevel"/>
    <w:tmpl w:val="4868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0386600">
    <w:abstractNumId w:val="3"/>
  </w:num>
  <w:num w:numId="2" w16cid:durableId="903295299">
    <w:abstractNumId w:val="1"/>
  </w:num>
  <w:num w:numId="3" w16cid:durableId="392658383">
    <w:abstractNumId w:val="4"/>
  </w:num>
  <w:num w:numId="4" w16cid:durableId="480389682">
    <w:abstractNumId w:val="6"/>
  </w:num>
  <w:num w:numId="5" w16cid:durableId="342323973">
    <w:abstractNumId w:val="0"/>
  </w:num>
  <w:num w:numId="6" w16cid:durableId="1436439915">
    <w:abstractNumId w:val="5"/>
  </w:num>
  <w:num w:numId="7" w16cid:durableId="131607388">
    <w:abstractNumId w:val="6"/>
  </w:num>
  <w:num w:numId="8" w16cid:durableId="1665904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73"/>
    <w:rsid w:val="00000A8F"/>
    <w:rsid w:val="0000247B"/>
    <w:rsid w:val="0000469B"/>
    <w:rsid w:val="00006976"/>
    <w:rsid w:val="00007553"/>
    <w:rsid w:val="00010C96"/>
    <w:rsid w:val="00010E79"/>
    <w:rsid w:val="00011187"/>
    <w:rsid w:val="00014E34"/>
    <w:rsid w:val="00023E12"/>
    <w:rsid w:val="00030352"/>
    <w:rsid w:val="000332AE"/>
    <w:rsid w:val="00035FF3"/>
    <w:rsid w:val="000418F0"/>
    <w:rsid w:val="00051021"/>
    <w:rsid w:val="00051F95"/>
    <w:rsid w:val="000524F0"/>
    <w:rsid w:val="00052D54"/>
    <w:rsid w:val="000576EB"/>
    <w:rsid w:val="00063414"/>
    <w:rsid w:val="00064B2D"/>
    <w:rsid w:val="00065D7E"/>
    <w:rsid w:val="00065F1F"/>
    <w:rsid w:val="00076D33"/>
    <w:rsid w:val="00076D3B"/>
    <w:rsid w:val="00077859"/>
    <w:rsid w:val="00077AEA"/>
    <w:rsid w:val="00081B0A"/>
    <w:rsid w:val="00086C5C"/>
    <w:rsid w:val="00091A0D"/>
    <w:rsid w:val="000A0E8D"/>
    <w:rsid w:val="000A3D8B"/>
    <w:rsid w:val="000B427A"/>
    <w:rsid w:val="000B6AF2"/>
    <w:rsid w:val="000B7311"/>
    <w:rsid w:val="000D02A2"/>
    <w:rsid w:val="000D6FD4"/>
    <w:rsid w:val="000D7B1C"/>
    <w:rsid w:val="000E0AE4"/>
    <w:rsid w:val="000E1EA4"/>
    <w:rsid w:val="000E3DBC"/>
    <w:rsid w:val="000E662F"/>
    <w:rsid w:val="000F3CFE"/>
    <w:rsid w:val="000F6568"/>
    <w:rsid w:val="00101C42"/>
    <w:rsid w:val="00102819"/>
    <w:rsid w:val="00104544"/>
    <w:rsid w:val="00105058"/>
    <w:rsid w:val="00105635"/>
    <w:rsid w:val="0010778D"/>
    <w:rsid w:val="001122EC"/>
    <w:rsid w:val="0012388D"/>
    <w:rsid w:val="00127084"/>
    <w:rsid w:val="00136B57"/>
    <w:rsid w:val="00150B54"/>
    <w:rsid w:val="0015187A"/>
    <w:rsid w:val="00167F09"/>
    <w:rsid w:val="001755B5"/>
    <w:rsid w:val="00182C4C"/>
    <w:rsid w:val="001878C5"/>
    <w:rsid w:val="0019399D"/>
    <w:rsid w:val="00197592"/>
    <w:rsid w:val="00197D8D"/>
    <w:rsid w:val="001A1A75"/>
    <w:rsid w:val="001A7E9A"/>
    <w:rsid w:val="001B6DA4"/>
    <w:rsid w:val="001C27A3"/>
    <w:rsid w:val="001C306D"/>
    <w:rsid w:val="001C3BC7"/>
    <w:rsid w:val="001D1BBB"/>
    <w:rsid w:val="001D43F6"/>
    <w:rsid w:val="001D6714"/>
    <w:rsid w:val="001E09FA"/>
    <w:rsid w:val="001E1BED"/>
    <w:rsid w:val="001E5AB1"/>
    <w:rsid w:val="001F63AD"/>
    <w:rsid w:val="001F7190"/>
    <w:rsid w:val="001F7F63"/>
    <w:rsid w:val="00202A6F"/>
    <w:rsid w:val="0022197C"/>
    <w:rsid w:val="00221D07"/>
    <w:rsid w:val="00224E3B"/>
    <w:rsid w:val="002269D8"/>
    <w:rsid w:val="00227E4A"/>
    <w:rsid w:val="002421C1"/>
    <w:rsid w:val="00250197"/>
    <w:rsid w:val="002528A9"/>
    <w:rsid w:val="00254640"/>
    <w:rsid w:val="00260F7B"/>
    <w:rsid w:val="0026387E"/>
    <w:rsid w:val="002641F1"/>
    <w:rsid w:val="00270D63"/>
    <w:rsid w:val="00271DBC"/>
    <w:rsid w:val="002758A0"/>
    <w:rsid w:val="00282A4C"/>
    <w:rsid w:val="00283490"/>
    <w:rsid w:val="0029204E"/>
    <w:rsid w:val="00292B9B"/>
    <w:rsid w:val="002A0194"/>
    <w:rsid w:val="002A5F8B"/>
    <w:rsid w:val="002A7F6C"/>
    <w:rsid w:val="002B0071"/>
    <w:rsid w:val="002B1E59"/>
    <w:rsid w:val="002C1A3B"/>
    <w:rsid w:val="002D5943"/>
    <w:rsid w:val="002D5E0B"/>
    <w:rsid w:val="002E01CB"/>
    <w:rsid w:val="002E16D5"/>
    <w:rsid w:val="002E1820"/>
    <w:rsid w:val="002F35EA"/>
    <w:rsid w:val="002F6488"/>
    <w:rsid w:val="00305C54"/>
    <w:rsid w:val="0031016C"/>
    <w:rsid w:val="0031426B"/>
    <w:rsid w:val="003213F9"/>
    <w:rsid w:val="00323AB6"/>
    <w:rsid w:val="00323DBF"/>
    <w:rsid w:val="00327867"/>
    <w:rsid w:val="00332B12"/>
    <w:rsid w:val="00333CA1"/>
    <w:rsid w:val="00336F6B"/>
    <w:rsid w:val="00337CBC"/>
    <w:rsid w:val="003428FC"/>
    <w:rsid w:val="003431BC"/>
    <w:rsid w:val="00346622"/>
    <w:rsid w:val="003507DB"/>
    <w:rsid w:val="00351B07"/>
    <w:rsid w:val="00363776"/>
    <w:rsid w:val="0036533D"/>
    <w:rsid w:val="00371B29"/>
    <w:rsid w:val="00372342"/>
    <w:rsid w:val="003766F8"/>
    <w:rsid w:val="00380106"/>
    <w:rsid w:val="003814F0"/>
    <w:rsid w:val="00381E07"/>
    <w:rsid w:val="00385788"/>
    <w:rsid w:val="00391769"/>
    <w:rsid w:val="003953E1"/>
    <w:rsid w:val="003956B3"/>
    <w:rsid w:val="003A03EA"/>
    <w:rsid w:val="003A0A4D"/>
    <w:rsid w:val="003A3D30"/>
    <w:rsid w:val="003A68BE"/>
    <w:rsid w:val="003A7B84"/>
    <w:rsid w:val="003C4969"/>
    <w:rsid w:val="003D2CDC"/>
    <w:rsid w:val="003D2DD0"/>
    <w:rsid w:val="003E41D5"/>
    <w:rsid w:val="003E46BA"/>
    <w:rsid w:val="003F611C"/>
    <w:rsid w:val="003F74C1"/>
    <w:rsid w:val="00401ADE"/>
    <w:rsid w:val="00405B1A"/>
    <w:rsid w:val="00406BF2"/>
    <w:rsid w:val="00410C76"/>
    <w:rsid w:val="00411907"/>
    <w:rsid w:val="00417EE3"/>
    <w:rsid w:val="004207EB"/>
    <w:rsid w:val="00421730"/>
    <w:rsid w:val="00422EC9"/>
    <w:rsid w:val="00423AC7"/>
    <w:rsid w:val="00430AA9"/>
    <w:rsid w:val="00432A42"/>
    <w:rsid w:val="00437276"/>
    <w:rsid w:val="00450E01"/>
    <w:rsid w:val="00453646"/>
    <w:rsid w:val="00456B54"/>
    <w:rsid w:val="00456BD5"/>
    <w:rsid w:val="004631E5"/>
    <w:rsid w:val="00464643"/>
    <w:rsid w:val="00486793"/>
    <w:rsid w:val="00486C66"/>
    <w:rsid w:val="004928C0"/>
    <w:rsid w:val="00494A3F"/>
    <w:rsid w:val="004A2037"/>
    <w:rsid w:val="004A793C"/>
    <w:rsid w:val="004B047B"/>
    <w:rsid w:val="004B4CDC"/>
    <w:rsid w:val="004D0ABD"/>
    <w:rsid w:val="004D121E"/>
    <w:rsid w:val="004D1B1C"/>
    <w:rsid w:val="004D7512"/>
    <w:rsid w:val="004E27CA"/>
    <w:rsid w:val="004F4AD4"/>
    <w:rsid w:val="004F4F98"/>
    <w:rsid w:val="004F69F6"/>
    <w:rsid w:val="004F79AC"/>
    <w:rsid w:val="00501E3B"/>
    <w:rsid w:val="00506E9B"/>
    <w:rsid w:val="005207D8"/>
    <w:rsid w:val="0052261A"/>
    <w:rsid w:val="00523930"/>
    <w:rsid w:val="005244F1"/>
    <w:rsid w:val="00537CDC"/>
    <w:rsid w:val="005402DD"/>
    <w:rsid w:val="00542A7F"/>
    <w:rsid w:val="00550B9B"/>
    <w:rsid w:val="00560185"/>
    <w:rsid w:val="00562917"/>
    <w:rsid w:val="00571B8C"/>
    <w:rsid w:val="00580DDF"/>
    <w:rsid w:val="005811B7"/>
    <w:rsid w:val="00583F7A"/>
    <w:rsid w:val="00586228"/>
    <w:rsid w:val="005862EC"/>
    <w:rsid w:val="00586E84"/>
    <w:rsid w:val="005946D3"/>
    <w:rsid w:val="00597631"/>
    <w:rsid w:val="005A4C2C"/>
    <w:rsid w:val="005A572E"/>
    <w:rsid w:val="005B084E"/>
    <w:rsid w:val="005B6AF4"/>
    <w:rsid w:val="005C04CB"/>
    <w:rsid w:val="005D16AD"/>
    <w:rsid w:val="005D2016"/>
    <w:rsid w:val="005D72E1"/>
    <w:rsid w:val="005E06C0"/>
    <w:rsid w:val="005E58D3"/>
    <w:rsid w:val="005E69E5"/>
    <w:rsid w:val="005E6E16"/>
    <w:rsid w:val="005F400E"/>
    <w:rsid w:val="005F7342"/>
    <w:rsid w:val="005F76D3"/>
    <w:rsid w:val="006061B2"/>
    <w:rsid w:val="00610A3C"/>
    <w:rsid w:val="006138D7"/>
    <w:rsid w:val="00615E83"/>
    <w:rsid w:val="00616017"/>
    <w:rsid w:val="00627F48"/>
    <w:rsid w:val="0063455F"/>
    <w:rsid w:val="00635814"/>
    <w:rsid w:val="00663FCF"/>
    <w:rsid w:val="006652A2"/>
    <w:rsid w:val="00683071"/>
    <w:rsid w:val="0068427A"/>
    <w:rsid w:val="00692490"/>
    <w:rsid w:val="006969CC"/>
    <w:rsid w:val="00696A15"/>
    <w:rsid w:val="006A3444"/>
    <w:rsid w:val="006A48A7"/>
    <w:rsid w:val="006A5D40"/>
    <w:rsid w:val="006C116D"/>
    <w:rsid w:val="006C22A7"/>
    <w:rsid w:val="006C5CF5"/>
    <w:rsid w:val="006D33FF"/>
    <w:rsid w:val="006D5BB3"/>
    <w:rsid w:val="006D6F68"/>
    <w:rsid w:val="006D78F7"/>
    <w:rsid w:val="006E10A1"/>
    <w:rsid w:val="006E7213"/>
    <w:rsid w:val="006F4A82"/>
    <w:rsid w:val="007075E7"/>
    <w:rsid w:val="00710C37"/>
    <w:rsid w:val="00724FA4"/>
    <w:rsid w:val="00730800"/>
    <w:rsid w:val="007320D3"/>
    <w:rsid w:val="00755F02"/>
    <w:rsid w:val="00756E73"/>
    <w:rsid w:val="00756F2E"/>
    <w:rsid w:val="007602AA"/>
    <w:rsid w:val="007652EF"/>
    <w:rsid w:val="00765DE1"/>
    <w:rsid w:val="0077128C"/>
    <w:rsid w:val="00772BDC"/>
    <w:rsid w:val="00777437"/>
    <w:rsid w:val="007775C0"/>
    <w:rsid w:val="007776B4"/>
    <w:rsid w:val="00780792"/>
    <w:rsid w:val="0078309E"/>
    <w:rsid w:val="00794BE4"/>
    <w:rsid w:val="00795D86"/>
    <w:rsid w:val="007A44B4"/>
    <w:rsid w:val="007A53BF"/>
    <w:rsid w:val="007A7D3D"/>
    <w:rsid w:val="007B225D"/>
    <w:rsid w:val="007B34D2"/>
    <w:rsid w:val="007B37B3"/>
    <w:rsid w:val="007C1C64"/>
    <w:rsid w:val="007C22CB"/>
    <w:rsid w:val="007C359F"/>
    <w:rsid w:val="007D0189"/>
    <w:rsid w:val="007D39F1"/>
    <w:rsid w:val="007E48BC"/>
    <w:rsid w:val="007E79F7"/>
    <w:rsid w:val="007F3630"/>
    <w:rsid w:val="007F7BF7"/>
    <w:rsid w:val="00807559"/>
    <w:rsid w:val="00813464"/>
    <w:rsid w:val="008200C8"/>
    <w:rsid w:val="00831154"/>
    <w:rsid w:val="00837959"/>
    <w:rsid w:val="008450BC"/>
    <w:rsid w:val="00847066"/>
    <w:rsid w:val="00850B09"/>
    <w:rsid w:val="00852BC2"/>
    <w:rsid w:val="00853078"/>
    <w:rsid w:val="0085334B"/>
    <w:rsid w:val="008537BA"/>
    <w:rsid w:val="00856712"/>
    <w:rsid w:val="008577B4"/>
    <w:rsid w:val="00857B90"/>
    <w:rsid w:val="00860808"/>
    <w:rsid w:val="00861C13"/>
    <w:rsid w:val="00862349"/>
    <w:rsid w:val="0086571E"/>
    <w:rsid w:val="00870214"/>
    <w:rsid w:val="00871116"/>
    <w:rsid w:val="00885C51"/>
    <w:rsid w:val="00896B85"/>
    <w:rsid w:val="008A16C0"/>
    <w:rsid w:val="008A243D"/>
    <w:rsid w:val="008A537A"/>
    <w:rsid w:val="008B799E"/>
    <w:rsid w:val="008C0226"/>
    <w:rsid w:val="008C4E76"/>
    <w:rsid w:val="008D06C6"/>
    <w:rsid w:val="008D5E9D"/>
    <w:rsid w:val="008E6250"/>
    <w:rsid w:val="008F64DA"/>
    <w:rsid w:val="00917C6F"/>
    <w:rsid w:val="00920249"/>
    <w:rsid w:val="0092066E"/>
    <w:rsid w:val="00932F14"/>
    <w:rsid w:val="00941150"/>
    <w:rsid w:val="0094247F"/>
    <w:rsid w:val="00942D60"/>
    <w:rsid w:val="0094358A"/>
    <w:rsid w:val="009460FA"/>
    <w:rsid w:val="00947534"/>
    <w:rsid w:val="009478A1"/>
    <w:rsid w:val="0096523B"/>
    <w:rsid w:val="00972D06"/>
    <w:rsid w:val="0099290A"/>
    <w:rsid w:val="0099323D"/>
    <w:rsid w:val="0099623A"/>
    <w:rsid w:val="00997E3C"/>
    <w:rsid w:val="009A2699"/>
    <w:rsid w:val="009A2DC9"/>
    <w:rsid w:val="009A391C"/>
    <w:rsid w:val="009A6911"/>
    <w:rsid w:val="009E0A61"/>
    <w:rsid w:val="009E3010"/>
    <w:rsid w:val="009E35C8"/>
    <w:rsid w:val="009E46F5"/>
    <w:rsid w:val="009E574E"/>
    <w:rsid w:val="009F4012"/>
    <w:rsid w:val="009F7065"/>
    <w:rsid w:val="00A2449C"/>
    <w:rsid w:val="00A318EB"/>
    <w:rsid w:val="00A33CCA"/>
    <w:rsid w:val="00A426AA"/>
    <w:rsid w:val="00A551B9"/>
    <w:rsid w:val="00A56DC7"/>
    <w:rsid w:val="00A66FDD"/>
    <w:rsid w:val="00A671E6"/>
    <w:rsid w:val="00A709E5"/>
    <w:rsid w:val="00A74FD1"/>
    <w:rsid w:val="00A84A58"/>
    <w:rsid w:val="00A929A9"/>
    <w:rsid w:val="00A96594"/>
    <w:rsid w:val="00AA41BA"/>
    <w:rsid w:val="00AA6D0D"/>
    <w:rsid w:val="00AA6FA3"/>
    <w:rsid w:val="00AC3A23"/>
    <w:rsid w:val="00AC428E"/>
    <w:rsid w:val="00AC7D80"/>
    <w:rsid w:val="00AD16C3"/>
    <w:rsid w:val="00AD344F"/>
    <w:rsid w:val="00AD410B"/>
    <w:rsid w:val="00AD6021"/>
    <w:rsid w:val="00AE280B"/>
    <w:rsid w:val="00AE4FFD"/>
    <w:rsid w:val="00AF24FA"/>
    <w:rsid w:val="00AF387F"/>
    <w:rsid w:val="00AF397D"/>
    <w:rsid w:val="00B00E7F"/>
    <w:rsid w:val="00B042EB"/>
    <w:rsid w:val="00B05D62"/>
    <w:rsid w:val="00B17112"/>
    <w:rsid w:val="00B21055"/>
    <w:rsid w:val="00B21DCC"/>
    <w:rsid w:val="00B25F37"/>
    <w:rsid w:val="00B37158"/>
    <w:rsid w:val="00B425AA"/>
    <w:rsid w:val="00B44422"/>
    <w:rsid w:val="00B46EA0"/>
    <w:rsid w:val="00B549E1"/>
    <w:rsid w:val="00B55714"/>
    <w:rsid w:val="00B56310"/>
    <w:rsid w:val="00B63BBA"/>
    <w:rsid w:val="00B731D3"/>
    <w:rsid w:val="00B75B57"/>
    <w:rsid w:val="00B77C18"/>
    <w:rsid w:val="00B811B3"/>
    <w:rsid w:val="00B839A3"/>
    <w:rsid w:val="00B901E8"/>
    <w:rsid w:val="00B902BD"/>
    <w:rsid w:val="00B92501"/>
    <w:rsid w:val="00B95550"/>
    <w:rsid w:val="00B97705"/>
    <w:rsid w:val="00BA0345"/>
    <w:rsid w:val="00BA1009"/>
    <w:rsid w:val="00BA4C4B"/>
    <w:rsid w:val="00BA7161"/>
    <w:rsid w:val="00BB0EC9"/>
    <w:rsid w:val="00BB1BFB"/>
    <w:rsid w:val="00BC2149"/>
    <w:rsid w:val="00BC329C"/>
    <w:rsid w:val="00BD2A39"/>
    <w:rsid w:val="00BD2E80"/>
    <w:rsid w:val="00BD49FF"/>
    <w:rsid w:val="00BD4B64"/>
    <w:rsid w:val="00BD6165"/>
    <w:rsid w:val="00BD77E1"/>
    <w:rsid w:val="00BE11B8"/>
    <w:rsid w:val="00BE3D43"/>
    <w:rsid w:val="00BF27E7"/>
    <w:rsid w:val="00BF45A3"/>
    <w:rsid w:val="00BF7FF0"/>
    <w:rsid w:val="00C11AEA"/>
    <w:rsid w:val="00C12502"/>
    <w:rsid w:val="00C135D1"/>
    <w:rsid w:val="00C26B3B"/>
    <w:rsid w:val="00C3108F"/>
    <w:rsid w:val="00C40AA5"/>
    <w:rsid w:val="00C4253D"/>
    <w:rsid w:val="00C46F70"/>
    <w:rsid w:val="00C476D0"/>
    <w:rsid w:val="00C56CF1"/>
    <w:rsid w:val="00C6434A"/>
    <w:rsid w:val="00C64555"/>
    <w:rsid w:val="00C70146"/>
    <w:rsid w:val="00C74398"/>
    <w:rsid w:val="00C830B9"/>
    <w:rsid w:val="00C836E3"/>
    <w:rsid w:val="00C836FF"/>
    <w:rsid w:val="00C854DC"/>
    <w:rsid w:val="00C8594A"/>
    <w:rsid w:val="00C86577"/>
    <w:rsid w:val="00C91C02"/>
    <w:rsid w:val="00C92132"/>
    <w:rsid w:val="00C92452"/>
    <w:rsid w:val="00C92E07"/>
    <w:rsid w:val="00C96868"/>
    <w:rsid w:val="00CA0416"/>
    <w:rsid w:val="00CA5734"/>
    <w:rsid w:val="00CB115C"/>
    <w:rsid w:val="00CB4B9C"/>
    <w:rsid w:val="00CC3764"/>
    <w:rsid w:val="00CC3A35"/>
    <w:rsid w:val="00CC5468"/>
    <w:rsid w:val="00CC560B"/>
    <w:rsid w:val="00CC75E2"/>
    <w:rsid w:val="00CC7BCC"/>
    <w:rsid w:val="00CD46EB"/>
    <w:rsid w:val="00CD7D76"/>
    <w:rsid w:val="00CD7EBF"/>
    <w:rsid w:val="00CE59AA"/>
    <w:rsid w:val="00CE7BCB"/>
    <w:rsid w:val="00CF0E86"/>
    <w:rsid w:val="00D00DFA"/>
    <w:rsid w:val="00D056F1"/>
    <w:rsid w:val="00D06616"/>
    <w:rsid w:val="00D144D7"/>
    <w:rsid w:val="00D15A08"/>
    <w:rsid w:val="00D23DB6"/>
    <w:rsid w:val="00D51A95"/>
    <w:rsid w:val="00D60568"/>
    <w:rsid w:val="00D6177E"/>
    <w:rsid w:val="00D62D1C"/>
    <w:rsid w:val="00D63D75"/>
    <w:rsid w:val="00D65EAF"/>
    <w:rsid w:val="00D70C7A"/>
    <w:rsid w:val="00D7105D"/>
    <w:rsid w:val="00D72A29"/>
    <w:rsid w:val="00D834E5"/>
    <w:rsid w:val="00D96C9C"/>
    <w:rsid w:val="00DA1025"/>
    <w:rsid w:val="00DA10A8"/>
    <w:rsid w:val="00DB123A"/>
    <w:rsid w:val="00DB1E08"/>
    <w:rsid w:val="00DB2973"/>
    <w:rsid w:val="00DC0FBA"/>
    <w:rsid w:val="00DC1B56"/>
    <w:rsid w:val="00DC20CC"/>
    <w:rsid w:val="00DC2129"/>
    <w:rsid w:val="00DC46FB"/>
    <w:rsid w:val="00DC6570"/>
    <w:rsid w:val="00DD265C"/>
    <w:rsid w:val="00DD3703"/>
    <w:rsid w:val="00DD42B6"/>
    <w:rsid w:val="00DE5528"/>
    <w:rsid w:val="00DF25C3"/>
    <w:rsid w:val="00DF5CFF"/>
    <w:rsid w:val="00DF72BB"/>
    <w:rsid w:val="00E04062"/>
    <w:rsid w:val="00E063C6"/>
    <w:rsid w:val="00E2003B"/>
    <w:rsid w:val="00E26453"/>
    <w:rsid w:val="00E26887"/>
    <w:rsid w:val="00E279D8"/>
    <w:rsid w:val="00E30092"/>
    <w:rsid w:val="00E319B1"/>
    <w:rsid w:val="00E327A6"/>
    <w:rsid w:val="00E3684F"/>
    <w:rsid w:val="00E47D3B"/>
    <w:rsid w:val="00E5492F"/>
    <w:rsid w:val="00E572B1"/>
    <w:rsid w:val="00E6369A"/>
    <w:rsid w:val="00E70A86"/>
    <w:rsid w:val="00E72610"/>
    <w:rsid w:val="00E72B1E"/>
    <w:rsid w:val="00E73E50"/>
    <w:rsid w:val="00E777EC"/>
    <w:rsid w:val="00E80FCD"/>
    <w:rsid w:val="00E92E6F"/>
    <w:rsid w:val="00EA2226"/>
    <w:rsid w:val="00EA3D58"/>
    <w:rsid w:val="00EA7DB0"/>
    <w:rsid w:val="00EA7F2F"/>
    <w:rsid w:val="00EB1F85"/>
    <w:rsid w:val="00EB2B39"/>
    <w:rsid w:val="00EB576F"/>
    <w:rsid w:val="00EB6590"/>
    <w:rsid w:val="00EC00DE"/>
    <w:rsid w:val="00EC21DF"/>
    <w:rsid w:val="00EC30E1"/>
    <w:rsid w:val="00EC3436"/>
    <w:rsid w:val="00EC3B70"/>
    <w:rsid w:val="00EC66BB"/>
    <w:rsid w:val="00ED172A"/>
    <w:rsid w:val="00ED20BC"/>
    <w:rsid w:val="00EE01DC"/>
    <w:rsid w:val="00EE4DA4"/>
    <w:rsid w:val="00F12BDA"/>
    <w:rsid w:val="00F14AB3"/>
    <w:rsid w:val="00F14BEC"/>
    <w:rsid w:val="00F224B7"/>
    <w:rsid w:val="00F225C5"/>
    <w:rsid w:val="00F2587A"/>
    <w:rsid w:val="00F33470"/>
    <w:rsid w:val="00F34E02"/>
    <w:rsid w:val="00F3715D"/>
    <w:rsid w:val="00F37A10"/>
    <w:rsid w:val="00F420C8"/>
    <w:rsid w:val="00F42A4C"/>
    <w:rsid w:val="00F526BD"/>
    <w:rsid w:val="00F634A1"/>
    <w:rsid w:val="00F915C6"/>
    <w:rsid w:val="00FB7512"/>
    <w:rsid w:val="00FD7547"/>
    <w:rsid w:val="00FE287B"/>
    <w:rsid w:val="00FE31DE"/>
    <w:rsid w:val="00FE6B50"/>
    <w:rsid w:val="00FF1B03"/>
    <w:rsid w:val="00FF22EA"/>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29EDC"/>
  <w15:docId w15:val="{27909ABE-91BA-4C5F-8348-639677AE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B90"/>
    <w:pPr>
      <w:spacing w:before="120" w:after="12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numPr>
        <w:numId w:val="1"/>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numPr>
        <w:numId w:val="2"/>
      </w:numPr>
      <w:ind w:left="1134" w:hanging="567"/>
    </w:pPr>
    <w:rPr>
      <w:rFonts w:eastAsia="Calibri"/>
      <w:szCs w:val="22"/>
      <w:lang w:bidi="ar-SA"/>
    </w:rPr>
  </w:style>
  <w:style w:type="paragraph" w:customStyle="1" w:styleId="FSBullet3">
    <w:name w:val="FSBullet 3"/>
    <w:basedOn w:val="Normal"/>
    <w:qFormat/>
    <w:rsid w:val="0015187A"/>
    <w:pPr>
      <w:keepNext/>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tabs>
        <w:tab w:val="left" w:pos="851"/>
      </w:tabs>
    </w:pPr>
    <w:rPr>
      <w:sz w:val="20"/>
      <w:szCs w:val="20"/>
      <w:lang w:bidi="ar-SA"/>
    </w:rPr>
  </w:style>
  <w:style w:type="paragraph" w:customStyle="1" w:styleId="FSCDraftingitemheading">
    <w:name w:val="FSC_Drafting_item_heading"/>
    <w:basedOn w:val="Normal"/>
    <w:qFormat/>
    <w:rsid w:val="00292B9B"/>
    <w:pPr>
      <w:ind w:left="851" w:hanging="851"/>
    </w:pPr>
    <w:rPr>
      <w:b/>
      <w:sz w:val="20"/>
      <w:szCs w:val="20"/>
      <w:lang w:bidi="ar-SA"/>
    </w:rPr>
  </w:style>
  <w:style w:type="paragraph" w:customStyle="1" w:styleId="FSCfooter">
    <w:name w:val="FSC_footer"/>
    <w:basedOn w:val="Normal"/>
    <w:rsid w:val="00292B9B"/>
    <w:pPr>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spacing w:before="80"/>
    </w:pPr>
    <w:rPr>
      <w:color w:val="7030A0"/>
      <w:lang w:eastAsia="en-AU" w:bidi="ar-SA"/>
    </w:rPr>
  </w:style>
  <w:style w:type="paragraph" w:customStyle="1" w:styleId="FSCoFooter">
    <w:name w:val="FSC_o_Footer"/>
    <w:basedOn w:val="Normal"/>
    <w:rsid w:val="00292B9B"/>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spacing w:before="20" w:after="20"/>
    </w:pPr>
    <w:rPr>
      <w:rFonts w:eastAsiaTheme="minorHAnsi" w:cs="Arial"/>
      <w:sz w:val="18"/>
      <w:szCs w:val="22"/>
      <w:lang w:bidi="ar-SA"/>
    </w:rPr>
  </w:style>
  <w:style w:type="paragraph" w:customStyle="1" w:styleId="FSCtblAdd2">
    <w:name w:val="FSC_tbl_Add2"/>
    <w:basedOn w:val="Normal"/>
    <w:qFormat/>
    <w:rsid w:val="00292B9B"/>
    <w:pPr>
      <w:keepLines/>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spacing w:after="60"/>
    </w:pPr>
    <w:rPr>
      <w:rFonts w:eastAsia="Calibri"/>
      <w:b/>
      <w:sz w:val="16"/>
      <w:szCs w:val="20"/>
      <w:lang w:eastAsia="en-AU" w:bidi="ar-SA"/>
    </w:rPr>
  </w:style>
  <w:style w:type="paragraph" w:customStyle="1" w:styleId="FSCtblAmendmain">
    <w:name w:val="FSC_tbl_Amend_main"/>
    <w:basedOn w:val="Normal"/>
    <w:qFormat/>
    <w:rsid w:val="00292B9B"/>
    <w:pPr>
      <w:ind w:left="113" w:hanging="113"/>
    </w:pPr>
    <w:rPr>
      <w:bCs/>
      <w:sz w:val="16"/>
      <w:szCs w:val="20"/>
      <w:lang w:bidi="ar-SA"/>
    </w:rPr>
  </w:style>
  <w:style w:type="paragraph" w:customStyle="1" w:styleId="FSCtblh2">
    <w:name w:val="FSC_tbl_h2"/>
    <w:basedOn w:val="Normal"/>
    <w:qFormat/>
    <w:rsid w:val="00292B9B"/>
    <w:pPr>
      <w:keepNext/>
      <w:keepLines/>
      <w:spacing w:before="24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spacing w:before="60" w:after="60"/>
    </w:pPr>
    <w:rPr>
      <w:rFonts w:cs="Arial"/>
      <w:i/>
      <w:sz w:val="18"/>
      <w:szCs w:val="22"/>
      <w:lang w:eastAsia="en-AU" w:bidi="ar-SA"/>
    </w:rPr>
  </w:style>
  <w:style w:type="paragraph" w:customStyle="1" w:styleId="FSCtblMain">
    <w:name w:val="FSC_tbl_Main"/>
    <w:basedOn w:val="Normal"/>
    <w:rsid w:val="00292B9B"/>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paragraph">
    <w:name w:val="paragraph"/>
    <w:basedOn w:val="Normal"/>
    <w:rsid w:val="00C56CF1"/>
    <w:pPr>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C56CF1"/>
  </w:style>
  <w:style w:type="character" w:customStyle="1" w:styleId="eop">
    <w:name w:val="eop"/>
    <w:basedOn w:val="DefaultParagraphFont"/>
    <w:rsid w:val="00C56CF1"/>
  </w:style>
  <w:style w:type="character" w:styleId="UnresolvedMention">
    <w:name w:val="Unresolved Mention"/>
    <w:basedOn w:val="DefaultParagraphFont"/>
    <w:uiPriority w:val="99"/>
    <w:unhideWhenUsed/>
    <w:rsid w:val="00857B90"/>
    <w:rPr>
      <w:color w:val="605E5C"/>
      <w:shd w:val="clear" w:color="auto" w:fill="E1DFDD"/>
    </w:rPr>
  </w:style>
  <w:style w:type="paragraph" w:styleId="ListParagraph">
    <w:name w:val="List Paragraph"/>
    <w:basedOn w:val="Normal"/>
    <w:uiPriority w:val="34"/>
    <w:qFormat/>
    <w:rsid w:val="00857B90"/>
    <w:pPr>
      <w:ind w:left="720"/>
      <w:contextualSpacing/>
    </w:pPr>
  </w:style>
  <w:style w:type="table" w:customStyle="1" w:styleId="TableGrid2">
    <w:name w:val="Table Grid2"/>
    <w:basedOn w:val="TableNormal"/>
    <w:next w:val="TableGrid"/>
    <w:rsid w:val="00857B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208959217">
      <w:bodyDiv w:val="1"/>
      <w:marLeft w:val="0"/>
      <w:marRight w:val="0"/>
      <w:marTop w:val="0"/>
      <w:marBottom w:val="0"/>
      <w:divBdr>
        <w:top w:val="none" w:sz="0" w:space="0" w:color="auto"/>
        <w:left w:val="none" w:sz="0" w:space="0" w:color="auto"/>
        <w:bottom w:val="none" w:sz="0" w:space="0" w:color="auto"/>
        <w:right w:val="none" w:sz="0" w:space="0" w:color="auto"/>
      </w:divBdr>
      <w:divsChild>
        <w:div w:id="297690357">
          <w:marLeft w:val="0"/>
          <w:marRight w:val="0"/>
          <w:marTop w:val="0"/>
          <w:marBottom w:val="0"/>
          <w:divBdr>
            <w:top w:val="none" w:sz="0" w:space="0" w:color="auto"/>
            <w:left w:val="none" w:sz="0" w:space="0" w:color="auto"/>
            <w:bottom w:val="none" w:sz="0" w:space="0" w:color="auto"/>
            <w:right w:val="none" w:sz="0" w:space="0" w:color="auto"/>
          </w:divBdr>
        </w:div>
        <w:div w:id="528760698">
          <w:marLeft w:val="0"/>
          <w:marRight w:val="0"/>
          <w:marTop w:val="0"/>
          <w:marBottom w:val="0"/>
          <w:divBdr>
            <w:top w:val="none" w:sz="0" w:space="0" w:color="auto"/>
            <w:left w:val="none" w:sz="0" w:space="0" w:color="auto"/>
            <w:bottom w:val="none" w:sz="0" w:space="0" w:color="auto"/>
            <w:right w:val="none" w:sz="0" w:space="0" w:color="auto"/>
          </w:divBdr>
        </w:div>
        <w:div w:id="1282296571">
          <w:marLeft w:val="0"/>
          <w:marRight w:val="0"/>
          <w:marTop w:val="0"/>
          <w:marBottom w:val="0"/>
          <w:divBdr>
            <w:top w:val="none" w:sz="0" w:space="0" w:color="auto"/>
            <w:left w:val="none" w:sz="0" w:space="0" w:color="auto"/>
            <w:bottom w:val="none" w:sz="0" w:space="0" w:color="auto"/>
            <w:right w:val="none" w:sz="0" w:space="0" w:color="auto"/>
          </w:divBdr>
        </w:div>
      </w:divsChild>
    </w:div>
    <w:div w:id="322659139">
      <w:bodyDiv w:val="1"/>
      <w:marLeft w:val="0"/>
      <w:marRight w:val="0"/>
      <w:marTop w:val="0"/>
      <w:marBottom w:val="0"/>
      <w:divBdr>
        <w:top w:val="none" w:sz="0" w:space="0" w:color="auto"/>
        <w:left w:val="none" w:sz="0" w:space="0" w:color="auto"/>
        <w:bottom w:val="none" w:sz="0" w:space="0" w:color="auto"/>
        <w:right w:val="none" w:sz="0" w:space="0" w:color="auto"/>
      </w:divBdr>
      <w:divsChild>
        <w:div w:id="978800563">
          <w:marLeft w:val="0"/>
          <w:marRight w:val="0"/>
          <w:marTop w:val="0"/>
          <w:marBottom w:val="0"/>
          <w:divBdr>
            <w:top w:val="none" w:sz="0" w:space="0" w:color="auto"/>
            <w:left w:val="none" w:sz="0" w:space="0" w:color="auto"/>
            <w:bottom w:val="none" w:sz="0" w:space="0" w:color="auto"/>
            <w:right w:val="none" w:sz="0" w:space="0" w:color="auto"/>
          </w:divBdr>
        </w:div>
        <w:div w:id="1137456093">
          <w:marLeft w:val="0"/>
          <w:marRight w:val="0"/>
          <w:marTop w:val="0"/>
          <w:marBottom w:val="0"/>
          <w:divBdr>
            <w:top w:val="none" w:sz="0" w:space="0" w:color="auto"/>
            <w:left w:val="none" w:sz="0" w:space="0" w:color="auto"/>
            <w:bottom w:val="none" w:sz="0" w:space="0" w:color="auto"/>
            <w:right w:val="none" w:sz="0" w:space="0" w:color="auto"/>
          </w:divBdr>
        </w:div>
      </w:divsChild>
    </w:div>
    <w:div w:id="438531737">
      <w:bodyDiv w:val="1"/>
      <w:marLeft w:val="0"/>
      <w:marRight w:val="0"/>
      <w:marTop w:val="0"/>
      <w:marBottom w:val="0"/>
      <w:divBdr>
        <w:top w:val="none" w:sz="0" w:space="0" w:color="auto"/>
        <w:left w:val="none" w:sz="0" w:space="0" w:color="auto"/>
        <w:bottom w:val="none" w:sz="0" w:space="0" w:color="auto"/>
        <w:right w:val="none" w:sz="0" w:space="0" w:color="auto"/>
      </w:divBdr>
      <w:divsChild>
        <w:div w:id="512035720">
          <w:marLeft w:val="0"/>
          <w:marRight w:val="0"/>
          <w:marTop w:val="0"/>
          <w:marBottom w:val="0"/>
          <w:divBdr>
            <w:top w:val="none" w:sz="0" w:space="0" w:color="auto"/>
            <w:left w:val="none" w:sz="0" w:space="0" w:color="auto"/>
            <w:bottom w:val="none" w:sz="0" w:space="0" w:color="auto"/>
            <w:right w:val="none" w:sz="0" w:space="0" w:color="auto"/>
          </w:divBdr>
        </w:div>
        <w:div w:id="647593226">
          <w:marLeft w:val="0"/>
          <w:marRight w:val="0"/>
          <w:marTop w:val="0"/>
          <w:marBottom w:val="0"/>
          <w:divBdr>
            <w:top w:val="none" w:sz="0" w:space="0" w:color="auto"/>
            <w:left w:val="none" w:sz="0" w:space="0" w:color="auto"/>
            <w:bottom w:val="none" w:sz="0" w:space="0" w:color="auto"/>
            <w:right w:val="none" w:sz="0" w:space="0" w:color="auto"/>
          </w:divBdr>
        </w:div>
        <w:div w:id="1594977272">
          <w:marLeft w:val="0"/>
          <w:marRight w:val="0"/>
          <w:marTop w:val="0"/>
          <w:marBottom w:val="0"/>
          <w:divBdr>
            <w:top w:val="none" w:sz="0" w:space="0" w:color="auto"/>
            <w:left w:val="none" w:sz="0" w:space="0" w:color="auto"/>
            <w:bottom w:val="none" w:sz="0" w:space="0" w:color="auto"/>
            <w:right w:val="none" w:sz="0" w:space="0" w:color="auto"/>
          </w:divBdr>
        </w:div>
      </w:divsChild>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623578729">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9358344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87775532">
      <w:bodyDiv w:val="1"/>
      <w:marLeft w:val="0"/>
      <w:marRight w:val="0"/>
      <w:marTop w:val="0"/>
      <w:marBottom w:val="0"/>
      <w:divBdr>
        <w:top w:val="none" w:sz="0" w:space="0" w:color="auto"/>
        <w:left w:val="none" w:sz="0" w:space="0" w:color="auto"/>
        <w:bottom w:val="none" w:sz="0" w:space="0" w:color="auto"/>
        <w:right w:val="none" w:sz="0" w:space="0" w:color="auto"/>
      </w:divBdr>
      <w:divsChild>
        <w:div w:id="651980483">
          <w:marLeft w:val="0"/>
          <w:marRight w:val="0"/>
          <w:marTop w:val="0"/>
          <w:marBottom w:val="0"/>
          <w:divBdr>
            <w:top w:val="none" w:sz="0" w:space="0" w:color="auto"/>
            <w:left w:val="none" w:sz="0" w:space="0" w:color="auto"/>
            <w:bottom w:val="none" w:sz="0" w:space="0" w:color="auto"/>
            <w:right w:val="none" w:sz="0" w:space="0" w:color="auto"/>
          </w:divBdr>
        </w:div>
        <w:div w:id="1088775409">
          <w:marLeft w:val="0"/>
          <w:marRight w:val="0"/>
          <w:marTop w:val="0"/>
          <w:marBottom w:val="0"/>
          <w:divBdr>
            <w:top w:val="none" w:sz="0" w:space="0" w:color="auto"/>
            <w:left w:val="none" w:sz="0" w:space="0" w:color="auto"/>
            <w:bottom w:val="none" w:sz="0" w:space="0" w:color="auto"/>
            <w:right w:val="none" w:sz="0" w:space="0" w:color="auto"/>
          </w:divBdr>
        </w:div>
        <w:div w:id="1385713922">
          <w:marLeft w:val="0"/>
          <w:marRight w:val="0"/>
          <w:marTop w:val="0"/>
          <w:marBottom w:val="0"/>
          <w:divBdr>
            <w:top w:val="none" w:sz="0" w:space="0" w:color="auto"/>
            <w:left w:val="none" w:sz="0" w:space="0" w:color="auto"/>
            <w:bottom w:val="none" w:sz="0" w:space="0" w:color="auto"/>
            <w:right w:val="none" w:sz="0" w:space="0" w:color="auto"/>
          </w:divBdr>
        </w:div>
      </w:divsChild>
    </w:div>
    <w:div w:id="2015761656">
      <w:bodyDiv w:val="1"/>
      <w:marLeft w:val="0"/>
      <w:marRight w:val="0"/>
      <w:marTop w:val="0"/>
      <w:marBottom w:val="0"/>
      <w:divBdr>
        <w:top w:val="none" w:sz="0" w:space="0" w:color="auto"/>
        <w:left w:val="none" w:sz="0" w:space="0" w:color="auto"/>
        <w:bottom w:val="none" w:sz="0" w:space="0" w:color="auto"/>
        <w:right w:val="none" w:sz="0" w:space="0" w:color="auto"/>
      </w:divBdr>
      <w:divsChild>
        <w:div w:id="836775498">
          <w:marLeft w:val="0"/>
          <w:marRight w:val="0"/>
          <w:marTop w:val="0"/>
          <w:marBottom w:val="0"/>
          <w:divBdr>
            <w:top w:val="none" w:sz="0" w:space="0" w:color="auto"/>
            <w:left w:val="none" w:sz="0" w:space="0" w:color="auto"/>
            <w:bottom w:val="none" w:sz="0" w:space="0" w:color="auto"/>
            <w:right w:val="none" w:sz="0" w:space="0" w:color="auto"/>
          </w:divBdr>
        </w:div>
        <w:div w:id="1509521650">
          <w:marLeft w:val="0"/>
          <w:marRight w:val="0"/>
          <w:marTop w:val="0"/>
          <w:marBottom w:val="0"/>
          <w:divBdr>
            <w:top w:val="none" w:sz="0" w:space="0" w:color="auto"/>
            <w:left w:val="none" w:sz="0" w:space="0" w:color="auto"/>
            <w:bottom w:val="none" w:sz="0" w:space="0" w:color="auto"/>
            <w:right w:val="none" w:sz="0" w:space="0" w:color="auto"/>
          </w:divBdr>
        </w:div>
        <w:div w:id="205357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oodstandards.gov.au/code/applications/Pages/A1228---Xylanase-enzyme-from-GM-Trichoderma-reesei.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30"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legislation.gov.au" TargetMode="External"/><Relationship Id="rId27"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foodstandardsgovau.sharepoint.com/sites/Branding/Templates/Standards%20Management/Reports%20SDs%20and%20App%20Handbook%20Checklists/Report%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CE113-6ABE-4B58-9A67-1C8B8F7B6709}">
  <ds:schemaRefs>
    <ds:schemaRef ds:uri="0e0bee33-077a-46d4-80d5-abd1b3a3b85b"/>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48077A2-CDC4-4853-9361-0432D8269008}"/>
</file>

<file path=customXml/itemProps3.xml><?xml version="1.0" encoding="utf-8"?>
<ds:datastoreItem xmlns:ds="http://schemas.openxmlformats.org/officeDocument/2006/customXml" ds:itemID="{22184030-5145-48FD-9DE6-1A96FB6C4F2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C19D5828-99DA-44E0-BDA9-1336F6B7B6A6}">
  <ds:schemaRefs>
    <ds:schemaRef ds:uri="Microsoft.SharePoint.Taxonomy.ContentTypeSync"/>
  </ds:schemaRefs>
</ds:datastoreItem>
</file>

<file path=customXml/itemProps5.xml><?xml version="1.0" encoding="utf-8"?>
<ds:datastoreItem xmlns:ds="http://schemas.openxmlformats.org/officeDocument/2006/customXml" ds:itemID="{2824D218-B993-4E81-A937-E69693F9DEE6}">
  <ds:schemaRefs>
    <ds:schemaRef ds:uri="http://schemas.microsoft.com/sharepoint/v3/contenttype/forms"/>
  </ds:schemaRefs>
</ds:datastoreItem>
</file>

<file path=customXml/itemProps6.xml><?xml version="1.0" encoding="utf-8"?>
<ds:datastoreItem xmlns:ds="http://schemas.openxmlformats.org/officeDocument/2006/customXml" ds:itemID="{E540D619-74CD-461F-9F14-D4BE7FC5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Report%20approval</Template>
  <TotalTime>308</TotalTime>
  <Pages>16</Pages>
  <Words>5241</Words>
  <Characters>29093</Characters>
  <Application>Microsoft Office Word</Application>
  <DocSecurity>0</DocSecurity>
  <Lines>550</Lines>
  <Paragraphs>230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ronals</dc:creator>
  <cp:keywords>[SEC=UNOFFICIAL]</cp:keywords>
  <cp:lastModifiedBy>Sally Ronaldson</cp:lastModifiedBy>
  <cp:revision>116</cp:revision>
  <cp:lastPrinted>2023-06-12T02:29:00Z</cp:lastPrinted>
  <dcterms:created xsi:type="dcterms:W3CDTF">2023-04-04T09:03:00Z</dcterms:created>
  <dcterms:modified xsi:type="dcterms:W3CDTF">2023-06-12T02:29:00Z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b3c446a5-db7f-4643-bc06-e33f24ef986a</vt:lpwstr>
  </property>
  <property fmtid="{D5CDD505-2E9C-101B-9397-08002B2CF9AE}" pid="4" name="bjSaver">
    <vt:lpwstr>LlgSMo3yJ+fkgNEgbtQQbG6KKfc49ivc</vt:lpwstr>
  </property>
  <property fmtid="{D5CDD505-2E9C-101B-9397-08002B2CF9AE}" pid="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6" name="bjDocumentLabelXML-0">
    <vt:lpwstr>ames.com/2008/01/sie/internal/label"&gt;&lt;element uid="dd6c74cc-0de9-4a0a-85ef-439e2ceecf74" value="" /&gt;&lt;/sisl&gt;</vt:lpwstr>
  </property>
  <property fmtid="{D5CDD505-2E9C-101B-9397-08002B2CF9AE}" pid="7" name="bjDocumentSecurityLabel">
    <vt:lpwstr>OFFICIAL</vt:lpwstr>
  </property>
  <property fmtid="{D5CDD505-2E9C-101B-9397-08002B2CF9AE}" pid="8" name="bjHeaderBothDocProperty">
    <vt:lpwstr>OFFICIAL_x000d_
 </vt:lpwstr>
  </property>
  <property fmtid="{D5CDD505-2E9C-101B-9397-08002B2CF9AE}" pid="9" name="bjHeaderFirstPageDocProperty">
    <vt:lpwstr>OFFICIAL_x000d_
 </vt:lpwstr>
  </property>
  <property fmtid="{D5CDD505-2E9C-101B-9397-08002B2CF9AE}" pid="10" name="bjHeaderEvenPageDocProperty">
    <vt:lpwstr>OFFICIAL_x000d_
 </vt:lpwstr>
  </property>
  <property fmtid="{D5CDD505-2E9C-101B-9397-08002B2CF9AE}" pid="11" name="bjFooterBothDocProperty">
    <vt:lpwstr>_x000d_
OFFICIAL </vt:lpwstr>
  </property>
  <property fmtid="{D5CDD505-2E9C-101B-9397-08002B2CF9AE}" pid="12" name="bjFooterFirstPageDocProperty">
    <vt:lpwstr>_x000d_
OFFICIAL </vt:lpwstr>
  </property>
  <property fmtid="{D5CDD505-2E9C-101B-9397-08002B2CF9AE}" pid="13" name="bjFooterEvenPageDocProperty">
    <vt:lpwstr>_x000d_
OFFICIAL </vt:lpwstr>
  </property>
  <property fmtid="{D5CDD505-2E9C-101B-9397-08002B2CF9AE}" pid="14" name="ContentTypeId">
    <vt:lpwstr>0x010100CB2FFA9FD6109347A9495CD5860AFAE6</vt:lpwstr>
  </property>
  <property fmtid="{D5CDD505-2E9C-101B-9397-08002B2CF9AE}" pid="15" name="PM_Namespace">
    <vt:lpwstr>gov.au</vt:lpwstr>
  </property>
  <property fmtid="{D5CDD505-2E9C-101B-9397-08002B2CF9AE}" pid="16" name="PM_Caveats_Count">
    <vt:lpwstr>0</vt:lpwstr>
  </property>
  <property fmtid="{D5CDD505-2E9C-101B-9397-08002B2CF9AE}" pid="17" name="PM_Version">
    <vt:lpwstr>2018.4</vt:lpwstr>
  </property>
  <property fmtid="{D5CDD505-2E9C-101B-9397-08002B2CF9AE}" pid="18" name="PM_Note">
    <vt:lpwstr/>
  </property>
  <property fmtid="{D5CDD505-2E9C-101B-9397-08002B2CF9AE}" pid="19" name="PMHMAC">
    <vt:lpwstr>v=2022.1;a=SHA256;h=F3E957F010325001157E9E56DB555C2D59A8CE49AE646243B81D1D5BC9766D2A</vt:lpwstr>
  </property>
  <property fmtid="{D5CDD505-2E9C-101B-9397-08002B2CF9AE}" pid="20" name="PM_Qualifier">
    <vt:lpwstr/>
  </property>
  <property fmtid="{D5CDD505-2E9C-101B-9397-08002B2CF9AE}" pid="21" name="PM_SecurityClassification">
    <vt:lpwstr>UNOFFICIAL</vt:lpwstr>
  </property>
  <property fmtid="{D5CDD505-2E9C-101B-9397-08002B2CF9AE}" pid="22" name="PM_ProtectiveMarkingValue_Header">
    <vt:lpwstr>UNOFFICIAL</vt:lpwstr>
  </property>
  <property fmtid="{D5CDD505-2E9C-101B-9397-08002B2CF9AE}" pid="23" name="PM_OriginationTimeStamp">
    <vt:lpwstr>2023-06-12T02:10:16Z</vt:lpwstr>
  </property>
  <property fmtid="{D5CDD505-2E9C-101B-9397-08002B2CF9AE}" pid="24" name="PM_Markers">
    <vt:lpwstr/>
  </property>
  <property fmtid="{D5CDD505-2E9C-101B-9397-08002B2CF9AE}" pid="25" name="PM_InsertionValue">
    <vt:lpwstr>UNOFFICIAL</vt:lpwstr>
  </property>
  <property fmtid="{D5CDD505-2E9C-101B-9397-08002B2CF9AE}" pid="26" name="PM_Originator_Hash_SHA1">
    <vt:lpwstr>302BDBAD982F50293CEAD423BE77B1CA40A20CFD</vt:lpwstr>
  </property>
  <property fmtid="{D5CDD505-2E9C-101B-9397-08002B2CF9AE}" pid="27" name="PM_DisplayValueSecClassificationWithQualifier">
    <vt:lpwstr>UNOFFICIAL</vt:lpwstr>
  </property>
  <property fmtid="{D5CDD505-2E9C-101B-9397-08002B2CF9AE}" pid="28" name="PM_Originating_FileId">
    <vt:lpwstr>579F7C861C61462DAA4CFC4A4BAE998D</vt:lpwstr>
  </property>
  <property fmtid="{D5CDD505-2E9C-101B-9397-08002B2CF9AE}" pid="29" name="PM_ProtectiveMarkingValue_Footer">
    <vt:lpwstr>UNOFFICIAL</vt:lpwstr>
  </property>
  <property fmtid="{D5CDD505-2E9C-101B-9397-08002B2CF9AE}" pid="30" name="PM_ProtectiveMarkingImage_Header">
    <vt:lpwstr>C:\Program Files\Common Files\janusNET Shared\janusSEAL\Images\DocumentSlashBlue.png</vt:lpwstr>
  </property>
  <property fmtid="{D5CDD505-2E9C-101B-9397-08002B2CF9AE}" pid="31" name="PM_ProtectiveMarkingImage_Footer">
    <vt:lpwstr>C:\Program Files\Common Files\janusNET Shared\janusSEAL\Images\DocumentSlashBlue.png</vt:lpwstr>
  </property>
  <property fmtid="{D5CDD505-2E9C-101B-9397-08002B2CF9AE}" pid="32" name="PM_Display">
    <vt:lpwstr>UNOFFICIAL</vt:lpwstr>
  </property>
  <property fmtid="{D5CDD505-2E9C-101B-9397-08002B2CF9AE}" pid="33" name="PM_OriginatorUserAccountName_SHA256">
    <vt:lpwstr>04BEB04951CF9C0309220DC261A43CF887B145345D33A4BC1A2FC1C39C61A0F4</vt:lpwstr>
  </property>
  <property fmtid="{D5CDD505-2E9C-101B-9397-08002B2CF9AE}" pid="34" name="PM_OriginatorDomainName_SHA256">
    <vt:lpwstr>1728E66681E435764AE865ABE664C38F2A2F6D4B1DC4AC4803028F4FC406745D</vt:lpwstr>
  </property>
  <property fmtid="{D5CDD505-2E9C-101B-9397-08002B2CF9AE}" pid="35" name="PMUuid">
    <vt:lpwstr>v=2022.2;d=gov.au;g=65417EFE-F3B9-5E66-BD91-1E689FEC2EA6</vt:lpwstr>
  </property>
  <property fmtid="{D5CDD505-2E9C-101B-9397-08002B2CF9AE}" pid="36" name="PM_Hash_Version">
    <vt:lpwstr>2022.1</vt:lpwstr>
  </property>
  <property fmtid="{D5CDD505-2E9C-101B-9397-08002B2CF9AE}" pid="37" name="PM_Hash_Salt_Prev">
    <vt:lpwstr>D85AEAFF8ADA5F754DD44EF32470EAD8</vt:lpwstr>
  </property>
  <property fmtid="{D5CDD505-2E9C-101B-9397-08002B2CF9AE}" pid="38" name="PM_Hash_Salt">
    <vt:lpwstr>55D1A96037E4E0B4D2DAF2120DF195B6</vt:lpwstr>
  </property>
  <property fmtid="{D5CDD505-2E9C-101B-9397-08002B2CF9AE}" pid="39" name="PM_Hash_SHA1">
    <vt:lpwstr>31B17B855D2C2D8E4E569A8A8FAF97DB3A5FB910</vt:lpwstr>
  </property>
  <property fmtid="{D5CDD505-2E9C-101B-9397-08002B2CF9AE}" pid="40" name="pd3a3559ef84480a8025c4c7bb6e6dee">
    <vt:lpwstr/>
  </property>
  <property fmtid="{D5CDD505-2E9C-101B-9397-08002B2CF9AE}" pid="41" name="h46016694f704d158a57d0b5238c000e">
    <vt:lpwstr/>
  </property>
  <property fmtid="{D5CDD505-2E9C-101B-9397-08002B2CF9AE}" pid="42" name="Data_x0020_Privacy">
    <vt:lpwstr/>
  </property>
  <property fmtid="{D5CDD505-2E9C-101B-9397-08002B2CF9AE}" pid="43" name="Access">
    <vt:lpwstr/>
  </property>
  <property fmtid="{D5CDD505-2E9C-101B-9397-08002B2CF9AE}" pid="44" name="Classification">
    <vt:lpwstr>1;#OFFICIAL|3776503d-ed4e-4d70-8dfd-8e17b238523b</vt:lpwstr>
  </property>
  <property fmtid="{D5CDD505-2E9C-101B-9397-08002B2CF9AE}" pid="45" name="Data_x0020_Accessibility">
    <vt:lpwstr/>
  </property>
  <property fmtid="{D5CDD505-2E9C-101B-9397-08002B2CF9AE}" pid="46" name="o2e94e0b7bb742308b3aec7384781dc0">
    <vt:lpwstr/>
  </property>
  <property fmtid="{D5CDD505-2E9C-101B-9397-08002B2CF9AE}" pid="47" name="BCS">
    <vt:lpwstr>2;#Evaluation|43cb9915-dbd2-4e45-b39d-7bc5c58c72da</vt:lpwstr>
  </property>
  <property fmtid="{D5CDD505-2E9C-101B-9397-08002B2CF9AE}" pid="48" name="Data_x0020_Category">
    <vt:lpwstr/>
  </property>
  <property fmtid="{D5CDD505-2E9C-101B-9397-08002B2CF9AE}" pid="49" name="Data Privacy">
    <vt:lpwstr/>
  </property>
  <property fmtid="{D5CDD505-2E9C-101B-9397-08002B2CF9AE}" pid="50" name="Data Accessibility">
    <vt:lpwstr/>
  </property>
  <property fmtid="{D5CDD505-2E9C-101B-9397-08002B2CF9AE}" pid="51" name="Data Category">
    <vt:lpwstr/>
  </property>
  <property fmtid="{D5CDD505-2E9C-101B-9397-08002B2CF9AE}" pid="52" name="PM_SecurityClassification_Prev">
    <vt:lpwstr>UNOFFICIAL</vt:lpwstr>
  </property>
  <property fmtid="{D5CDD505-2E9C-101B-9397-08002B2CF9AE}" pid="53" name="PM_Qualifier_Prev">
    <vt:lpwstr/>
  </property>
</Properties>
</file>